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BB0BFA4" w14:textId="489C297D" w:rsidR="00FE0F75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E3797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17 listopada</w:t>
      </w:r>
      <w:r w:rsidR="007548B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1E139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2E9EE35" w14:textId="13A50D7D" w:rsidR="00FE0F75" w:rsidRDefault="00F94F75" w:rsidP="009E348F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Grupa </w:t>
      </w:r>
      <w:r w:rsidR="003E4E15"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E37976">
        <w:rPr>
          <w:rFonts w:ascii="Calibri" w:eastAsia="Calibri" w:hAnsi="Calibri" w:cs="Calibri"/>
          <w:b/>
          <w:bCs/>
          <w:sz w:val="48"/>
          <w:szCs w:val="48"/>
        </w:rPr>
        <w:t>: wyniki Q1-Q3 2022</w:t>
      </w:r>
    </w:p>
    <w:p w14:paraId="3AD18A33" w14:textId="4A05DC49" w:rsidR="003E4E15" w:rsidRDefault="003E4E15" w:rsidP="003E4E1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Grupa </w:t>
      </w:r>
      <w:r w:rsidRPr="00C5441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softHyphen/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–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ogólnopolski deweloper –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 przekazaniu</w:t>
      </w:r>
      <w:r w:rsidR="004060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2617</w:t>
      </w:r>
      <w:r w:rsidR="00406098" w:rsidRPr="006640D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mieszkalnych i usługowych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od stycznia do września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wygenerowała </w:t>
      </w:r>
      <w:r w:rsidR="00F94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skonsolidowane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przychody na poziomie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1,254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zł. Oznacza to wzrost o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22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 rok do roku. Od stycznia do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września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br. Grupa ATAL wypracowała </w:t>
      </w:r>
      <w:r w:rsidR="00F94F7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skonsolidowany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zysk netto w wysokości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ponad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252,4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mln zł, czyli</w:t>
      </w:r>
      <w:r w:rsidR="00442C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C31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przeszło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33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 więcej niż w analogicznym okresie 2021 roku.</w:t>
      </w:r>
      <w:r w:rsidR="00365E6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Marża brutto ze sprzedaży w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Q1-Q3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 roku wyniosła</w:t>
      </w:r>
      <w:r w:rsidR="002E6C7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2E6C7F" w:rsidRPr="002A2D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26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%, a marża netto </w:t>
      </w:r>
      <w:r w:rsidR="002E6C7F" w:rsidRPr="002A2DF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20</w:t>
      </w:r>
      <w:r w:rsidR="00365E63" w:rsidRPr="00A2755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%.</w:t>
      </w:r>
    </w:p>
    <w:p w14:paraId="1B07EF69" w14:textId="04B8838C" w:rsidR="00365E63" w:rsidRDefault="008B6529" w:rsidP="00365E6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Od stycznia do 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października</w:t>
      </w: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2022</w:t>
      </w:r>
      <w:r w:rsidR="0040609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Grupa zawarła łącznie </w:t>
      </w: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blisko 1</w:t>
      </w:r>
      <w:r w:rsidR="00E379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845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umów deweloperskich i przedwstępnych. </w:t>
      </w:r>
      <w:r w:rsidR="00DA5FA7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tym okresie zawarła również niemal 1</w:t>
      </w:r>
      <w:r w:rsidR="00E3797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862</w:t>
      </w:r>
      <w:r w:rsidR="00DA5FA7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umów rezerwacyjnych.</w:t>
      </w:r>
      <w:r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Tegoroczny potencjał sprzedaży (umowy deweloperskie i przedwstępne) Grupa obecnie szacuje na</w:t>
      </w:r>
      <w:r w:rsidR="00567BE6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ok</w:t>
      </w:r>
      <w:r w:rsidR="007B10F8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46E94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 </w:t>
      </w:r>
      <w:r w:rsidR="0025018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000</w:t>
      </w:r>
      <w:r w:rsidR="00365E63" w:rsidRPr="007B10F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lokali. Potencjał przekazań natomiast na ok. 3 500 lokali.</w:t>
      </w:r>
    </w:p>
    <w:p w14:paraId="084F6D43" w14:textId="05206C78" w:rsidR="00A27554" w:rsidRDefault="00A0145E" w:rsidP="00A27554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C1D344" wp14:editId="631FDB4A">
                <wp:simplePos x="0" y="0"/>
                <wp:positionH relativeFrom="margin">
                  <wp:posOffset>12700</wp:posOffset>
                </wp:positionH>
                <wp:positionV relativeFrom="paragraph">
                  <wp:posOffset>119380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9C49A" id="Grupa 36" o:spid="_x0000_s1026" style="position:absolute;margin-left:1pt;margin-top:9.4pt;width:36.35pt;height:23.3pt;z-index:251667456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anchorx="margin"/>
              </v:group>
            </w:pict>
          </mc:Fallback>
        </mc:AlternateContent>
      </w:r>
    </w:p>
    <w:p w14:paraId="6A1F66B3" w14:textId="1666E9B4" w:rsidR="00A27554" w:rsidRDefault="00A27554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27784DE9" w14:textId="1EC40A6D" w:rsidR="00B8330B" w:rsidRDefault="00B8330B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 ostatnich miesiącach sprzedaż ustabilizowała się na poziomie 130–140 lokali miesięcznie, 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związane jest to przede wszystkim z niską dostępnością kredytów hipotecznych. Podstawy rynku deweloperskiego się jednak nie zmieniły. 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Nie mamy nadpodaży mieszkań na rynku, a potrzeba posiadania własnego lokum nie zniknęła. </w:t>
      </w:r>
      <w:r w:rsidR="00903DB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Ponadto mamy wielu nowych mieszkańców największych miast, którzy przybyli z Ukrainy. 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Zakładamy, że w ciągu dwóch lat zbudujemy pewien zapas mieszkań,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który będziemy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 stanie sprzedać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po tym jak poprawią się warunki rynkowe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Spodziewamy się, że najtrudniejszy będzie przyszły rok, ale </w:t>
      </w:r>
      <w:r w:rsidR="002210D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widzimy szansę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że na początku 2024 r. sytuacja będzie już </w:t>
      </w:r>
      <w:r w:rsidR="00903DB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korzystniejsza</w:t>
      </w: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</w:t>
      </w:r>
    </w:p>
    <w:p w14:paraId="34AE7289" w14:textId="246A21EA" w:rsidR="002210D0" w:rsidRDefault="00B8330B" w:rsidP="00A27554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B8330B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Jesteśmy dużą i zdywersyfikowaną firmą, budujemy w siedmiu aglomeracjach w Polsce, mamy dobrą sytuację finansową wypracowaną w latach poprzednich i jesteśmy w stanie sfinansować budowy.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Będziemy gotowi na poprawę sytuacji na rynku nieruchomości i kredytów mieszkaniowych. W</w:t>
      </w:r>
      <w:r w:rsidR="00CE023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ypracowane przez nas przewagi konkurencyjne, bardzo dobra sytuacja gotówkowa i brak zadłużenia powodują, że możemy rozwijać się w tym trudnym czasie, myśląc już o okresie, gdy koniunktura będzie bardziej sprzyjająca</w:t>
      </w:r>
    </w:p>
    <w:p w14:paraId="7A12A0AA" w14:textId="438EF712" w:rsidR="00A27554" w:rsidRDefault="00A27554" w:rsidP="00A27554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37AAA08E" w14:textId="5EA93E76" w:rsidR="00A27554" w:rsidRPr="000F7104" w:rsidRDefault="00B26C09" w:rsidP="00A27554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D1422C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335346" wp14:editId="35DCD8C0">
                <wp:simplePos x="0" y="0"/>
                <wp:positionH relativeFrom="margin">
                  <wp:posOffset>5273675</wp:posOffset>
                </wp:positionH>
                <wp:positionV relativeFrom="paragraph">
                  <wp:posOffset>45720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98454" id="Grupa 16" o:spid="_x0000_s1026" style="position:absolute;margin-left:415.25pt;margin-top:3.6pt;width:36.35pt;height:23.3pt;z-index:251665408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"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22BEFD6E" w14:textId="77777777" w:rsidR="006C11A9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3ACF1D" w14:textId="0B62D083" w:rsidR="0007306F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3B489F" w:rsidRPr="00B43BA4">
        <w:rPr>
          <w:rFonts w:asciiTheme="majorHAnsi" w:hAnsiTheme="majorHAnsi" w:cstheme="majorHAnsi"/>
          <w:sz w:val="22"/>
          <w:szCs w:val="22"/>
        </w:rPr>
        <w:t>48%</w:t>
      </w:r>
      <w:r w:rsidRPr="002239A2">
        <w:rPr>
          <w:rFonts w:asciiTheme="majorHAnsi" w:hAnsiTheme="majorHAnsi" w:cstheme="majorHAnsi"/>
          <w:sz w:val="22"/>
          <w:szCs w:val="22"/>
        </w:rPr>
        <w:t xml:space="preserve">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3B489F" w:rsidRPr="00B43BA4">
        <w:rPr>
          <w:rFonts w:asciiTheme="majorHAnsi" w:hAnsiTheme="majorHAnsi" w:cstheme="majorHAnsi"/>
          <w:sz w:val="22"/>
          <w:szCs w:val="22"/>
        </w:rPr>
        <w:t>prawie  84%</w:t>
      </w:r>
      <w:r w:rsidR="003B489F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</w:t>
      </w:r>
      <w:r w:rsidR="009F1ED2">
        <w:rPr>
          <w:rFonts w:asciiTheme="majorHAnsi" w:hAnsiTheme="majorHAnsi" w:cstheme="majorHAnsi"/>
          <w:sz w:val="22"/>
          <w:szCs w:val="22"/>
        </w:rPr>
        <w:t>2020</w:t>
      </w:r>
      <w:r>
        <w:rPr>
          <w:rFonts w:asciiTheme="majorHAnsi" w:hAnsiTheme="majorHAnsi" w:cstheme="majorHAnsi"/>
          <w:sz w:val="22"/>
          <w:szCs w:val="22"/>
        </w:rPr>
        <w:t xml:space="preserve"> roku jednorazowo zmieniono politykę </w:t>
      </w:r>
      <w:r>
        <w:rPr>
          <w:rFonts w:asciiTheme="majorHAnsi" w:hAnsiTheme="majorHAnsi" w:cstheme="majorHAnsi"/>
          <w:sz w:val="22"/>
          <w:szCs w:val="22"/>
        </w:rPr>
        <w:lastRenderedPageBreak/>
        <w:t>dywidendy ze względu na sytuację związaną z pandemią koronawirusa</w:t>
      </w:r>
      <w:r w:rsidR="009F1ED2">
        <w:rPr>
          <w:rFonts w:asciiTheme="majorHAnsi" w:hAnsiTheme="majorHAnsi" w:cstheme="majorHAnsi"/>
          <w:sz w:val="22"/>
          <w:szCs w:val="22"/>
        </w:rPr>
        <w:t>, zasilając kapitał zakładowy wypracowanym zyskiem</w:t>
      </w:r>
      <w:r>
        <w:rPr>
          <w:rFonts w:asciiTheme="majorHAnsi" w:hAnsiTheme="majorHAnsi" w:cstheme="majorHAnsi"/>
          <w:sz w:val="22"/>
          <w:szCs w:val="22"/>
        </w:rPr>
        <w:t>.</w:t>
      </w:r>
      <w:r w:rsidR="009F1ED2">
        <w:rPr>
          <w:rFonts w:asciiTheme="majorHAnsi" w:hAnsiTheme="majorHAnsi" w:cstheme="majorHAnsi"/>
          <w:sz w:val="22"/>
          <w:szCs w:val="22"/>
        </w:rPr>
        <w:t xml:space="preserve"> 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9F1ED2">
        <w:rPr>
          <w:rFonts w:asciiTheme="majorHAnsi" w:hAnsiTheme="majorHAnsi" w:cstheme="majorHAnsi"/>
          <w:sz w:val="22"/>
          <w:szCs w:val="22"/>
        </w:rPr>
        <w:t>2021 roku spółka</w:t>
      </w:r>
      <w:r w:rsidR="009F1ED2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80% zysku netto jednostki dominującej</w:t>
      </w:r>
      <w:r w:rsidR="009F1ED2">
        <w:rPr>
          <w:rFonts w:asciiTheme="majorHAnsi" w:hAnsiTheme="majorHAnsi" w:cstheme="majorHAnsi"/>
          <w:sz w:val="22"/>
          <w:szCs w:val="22"/>
        </w:rPr>
        <w:t xml:space="preserve"> z 2020 roku</w:t>
      </w:r>
      <w:r w:rsidR="009F1ED2" w:rsidRPr="00B43BA4">
        <w:rPr>
          <w:rFonts w:asciiTheme="majorHAnsi" w:hAnsiTheme="majorHAnsi" w:cstheme="majorHAnsi"/>
          <w:sz w:val="22"/>
          <w:szCs w:val="22"/>
        </w:rPr>
        <w:t>. Oznacza to, że do akcjonariuszy trafiło 117,3 mln złotych, czyli 3,03 zł na akcję. Pozostała część wypracowanego zysku – 28,4 mln zł – zasiliła kapitał zapasowy.</w:t>
      </w:r>
      <w:r w:rsidR="006C11A9">
        <w:rPr>
          <w:rFonts w:asciiTheme="majorHAnsi" w:hAnsiTheme="majorHAnsi" w:cstheme="majorHAnsi"/>
          <w:sz w:val="22"/>
          <w:szCs w:val="22"/>
        </w:rPr>
        <w:t xml:space="preserve"> 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W </w:t>
      </w:r>
      <w:r w:rsidR="006C11A9">
        <w:rPr>
          <w:rFonts w:asciiTheme="majorHAnsi" w:hAnsiTheme="majorHAnsi" w:cstheme="majorHAnsi"/>
          <w:sz w:val="22"/>
          <w:szCs w:val="22"/>
        </w:rPr>
        <w:t>2022 roku spółka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wypłaciła dywidendę w wysokości </w:t>
      </w:r>
      <w:r w:rsidR="008D6321">
        <w:rPr>
          <w:rFonts w:asciiTheme="majorHAnsi" w:hAnsiTheme="majorHAnsi" w:cstheme="majorHAnsi"/>
          <w:sz w:val="22"/>
          <w:szCs w:val="22"/>
        </w:rPr>
        <w:t>70</w:t>
      </w:r>
      <w:r w:rsidR="006C11A9" w:rsidRPr="00B43BA4">
        <w:rPr>
          <w:rFonts w:asciiTheme="majorHAnsi" w:hAnsiTheme="majorHAnsi" w:cstheme="majorHAnsi"/>
          <w:sz w:val="22"/>
          <w:szCs w:val="22"/>
        </w:rPr>
        <w:t>% zysku netto jednostki dominującej</w:t>
      </w:r>
      <w:r w:rsidR="006C11A9">
        <w:rPr>
          <w:rFonts w:asciiTheme="majorHAnsi" w:hAnsiTheme="majorHAnsi" w:cstheme="majorHAnsi"/>
          <w:sz w:val="22"/>
          <w:szCs w:val="22"/>
        </w:rPr>
        <w:t xml:space="preserve"> z 2021 roku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. Oznacza to, że do akcjonariuszy trafiło </w:t>
      </w:r>
      <w:r w:rsidR="006C11A9">
        <w:rPr>
          <w:rFonts w:asciiTheme="majorHAnsi" w:hAnsiTheme="majorHAnsi" w:cstheme="majorHAnsi"/>
          <w:sz w:val="22"/>
          <w:szCs w:val="22"/>
        </w:rPr>
        <w:t>232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złotych, czyli </w:t>
      </w:r>
      <w:r w:rsidR="006C11A9">
        <w:rPr>
          <w:rFonts w:asciiTheme="majorHAnsi" w:hAnsiTheme="majorHAnsi" w:cstheme="majorHAnsi"/>
          <w:sz w:val="22"/>
          <w:szCs w:val="22"/>
        </w:rPr>
        <w:t>6,00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zł na akcję. Pozostała część wypracowanego zysku – </w:t>
      </w:r>
      <w:r w:rsidR="008D6321">
        <w:rPr>
          <w:rFonts w:asciiTheme="majorHAnsi" w:hAnsiTheme="majorHAnsi" w:cstheme="majorHAnsi"/>
          <w:sz w:val="22"/>
          <w:szCs w:val="22"/>
        </w:rPr>
        <w:t>blisko 101</w:t>
      </w:r>
      <w:r w:rsidR="006C11A9" w:rsidRPr="00B43BA4">
        <w:rPr>
          <w:rFonts w:asciiTheme="majorHAnsi" w:hAnsiTheme="majorHAnsi" w:cstheme="majorHAnsi"/>
          <w:sz w:val="22"/>
          <w:szCs w:val="22"/>
        </w:rPr>
        <w:t xml:space="preserve"> mln zł – zasiliła kapitał zapasowy.</w:t>
      </w:r>
      <w:r w:rsidR="008B6529" w:rsidRPr="008B6529">
        <w:rPr>
          <w:rFonts w:asciiTheme="majorHAnsi" w:hAnsiTheme="majorHAnsi" w:cstheme="majorHAnsi"/>
          <w:b/>
          <w:bCs/>
          <w:sz w:val="22"/>
          <w:szCs w:val="22"/>
        </w:rPr>
        <w:t xml:space="preserve"> Od debiutu akcji ATAL na GPW w 2015 roku spółka wypłaciła łącznie 756 mln zł zysku w formie dywidendy.</w:t>
      </w:r>
    </w:p>
    <w:p w14:paraId="55F0AC8A" w14:textId="77777777" w:rsidR="006C11A9" w:rsidRPr="004D5B73" w:rsidRDefault="006C11A9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3C32AC" w14:textId="559B3B46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B43BA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B43BA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70E99243" w14:textId="7BE20FF9" w:rsidR="0080615A" w:rsidRDefault="00C36ED7" w:rsidP="00B43BA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91D01"/>
    <w:rsid w:val="000964E6"/>
    <w:rsid w:val="000E7A42"/>
    <w:rsid w:val="000F7104"/>
    <w:rsid w:val="00174736"/>
    <w:rsid w:val="00183A23"/>
    <w:rsid w:val="001A6F49"/>
    <w:rsid w:val="001C76AD"/>
    <w:rsid w:val="001E139A"/>
    <w:rsid w:val="00216048"/>
    <w:rsid w:val="002210D0"/>
    <w:rsid w:val="0025018B"/>
    <w:rsid w:val="00254108"/>
    <w:rsid w:val="00274B57"/>
    <w:rsid w:val="002763F7"/>
    <w:rsid w:val="002926D9"/>
    <w:rsid w:val="002A2DFC"/>
    <w:rsid w:val="002D27B2"/>
    <w:rsid w:val="002D58D8"/>
    <w:rsid w:val="002E0635"/>
    <w:rsid w:val="002E6C7F"/>
    <w:rsid w:val="00306411"/>
    <w:rsid w:val="00334F1E"/>
    <w:rsid w:val="00363B72"/>
    <w:rsid w:val="00365E63"/>
    <w:rsid w:val="003B489F"/>
    <w:rsid w:val="003E156A"/>
    <w:rsid w:val="003E4E15"/>
    <w:rsid w:val="003E5B55"/>
    <w:rsid w:val="003F0FAB"/>
    <w:rsid w:val="00404050"/>
    <w:rsid w:val="00406098"/>
    <w:rsid w:val="00422EDD"/>
    <w:rsid w:val="00442CD1"/>
    <w:rsid w:val="00470299"/>
    <w:rsid w:val="00492353"/>
    <w:rsid w:val="004D0F3E"/>
    <w:rsid w:val="004F2D4A"/>
    <w:rsid w:val="005455E1"/>
    <w:rsid w:val="00567BE6"/>
    <w:rsid w:val="005957D8"/>
    <w:rsid w:val="00625460"/>
    <w:rsid w:val="006413F9"/>
    <w:rsid w:val="00650343"/>
    <w:rsid w:val="006640D2"/>
    <w:rsid w:val="006725EC"/>
    <w:rsid w:val="00692E00"/>
    <w:rsid w:val="006A24CA"/>
    <w:rsid w:val="006A6B5F"/>
    <w:rsid w:val="006B3105"/>
    <w:rsid w:val="006C11A9"/>
    <w:rsid w:val="006C4FC5"/>
    <w:rsid w:val="006F6BA3"/>
    <w:rsid w:val="00713B2B"/>
    <w:rsid w:val="00726378"/>
    <w:rsid w:val="00732C9F"/>
    <w:rsid w:val="00747CF7"/>
    <w:rsid w:val="007548B3"/>
    <w:rsid w:val="00756B71"/>
    <w:rsid w:val="007625B5"/>
    <w:rsid w:val="00775263"/>
    <w:rsid w:val="00776275"/>
    <w:rsid w:val="007B10F8"/>
    <w:rsid w:val="007E51F0"/>
    <w:rsid w:val="007F21C3"/>
    <w:rsid w:val="00801B9D"/>
    <w:rsid w:val="00803D82"/>
    <w:rsid w:val="0080615A"/>
    <w:rsid w:val="00841B21"/>
    <w:rsid w:val="008565A4"/>
    <w:rsid w:val="00862FEB"/>
    <w:rsid w:val="008A34ED"/>
    <w:rsid w:val="008B6529"/>
    <w:rsid w:val="008C4935"/>
    <w:rsid w:val="008C4AA0"/>
    <w:rsid w:val="008D6321"/>
    <w:rsid w:val="008E030B"/>
    <w:rsid w:val="008E54EF"/>
    <w:rsid w:val="008F7EC7"/>
    <w:rsid w:val="00903DB4"/>
    <w:rsid w:val="009166AC"/>
    <w:rsid w:val="0092550B"/>
    <w:rsid w:val="009354A5"/>
    <w:rsid w:val="009411FB"/>
    <w:rsid w:val="009876A4"/>
    <w:rsid w:val="009A14C7"/>
    <w:rsid w:val="009E348F"/>
    <w:rsid w:val="009F1ED2"/>
    <w:rsid w:val="00A010BB"/>
    <w:rsid w:val="00A0145E"/>
    <w:rsid w:val="00A2037F"/>
    <w:rsid w:val="00A27554"/>
    <w:rsid w:val="00A55E6E"/>
    <w:rsid w:val="00A703B1"/>
    <w:rsid w:val="00A73BF3"/>
    <w:rsid w:val="00A81724"/>
    <w:rsid w:val="00AB191F"/>
    <w:rsid w:val="00AB4741"/>
    <w:rsid w:val="00AF2664"/>
    <w:rsid w:val="00B226AF"/>
    <w:rsid w:val="00B26C09"/>
    <w:rsid w:val="00B378CF"/>
    <w:rsid w:val="00B43BA4"/>
    <w:rsid w:val="00B63C88"/>
    <w:rsid w:val="00B74BF1"/>
    <w:rsid w:val="00B8330B"/>
    <w:rsid w:val="00BD3E25"/>
    <w:rsid w:val="00BD5D8E"/>
    <w:rsid w:val="00C36ED7"/>
    <w:rsid w:val="00C379CC"/>
    <w:rsid w:val="00C40329"/>
    <w:rsid w:val="00C408B3"/>
    <w:rsid w:val="00C46E94"/>
    <w:rsid w:val="00C5441A"/>
    <w:rsid w:val="00C75815"/>
    <w:rsid w:val="00C91514"/>
    <w:rsid w:val="00CD55D4"/>
    <w:rsid w:val="00CE0237"/>
    <w:rsid w:val="00CF3E59"/>
    <w:rsid w:val="00D10309"/>
    <w:rsid w:val="00D1422C"/>
    <w:rsid w:val="00D25586"/>
    <w:rsid w:val="00D35520"/>
    <w:rsid w:val="00D63B7E"/>
    <w:rsid w:val="00D66599"/>
    <w:rsid w:val="00DA05CD"/>
    <w:rsid w:val="00DA1EDF"/>
    <w:rsid w:val="00DA5FA7"/>
    <w:rsid w:val="00DB0074"/>
    <w:rsid w:val="00DE2E58"/>
    <w:rsid w:val="00E15B4E"/>
    <w:rsid w:val="00E22A2E"/>
    <w:rsid w:val="00E37976"/>
    <w:rsid w:val="00E65B75"/>
    <w:rsid w:val="00E76B05"/>
    <w:rsid w:val="00E96E87"/>
    <w:rsid w:val="00EA36FC"/>
    <w:rsid w:val="00EC31CC"/>
    <w:rsid w:val="00EE15CD"/>
    <w:rsid w:val="00EE36C5"/>
    <w:rsid w:val="00EF0C25"/>
    <w:rsid w:val="00F14513"/>
    <w:rsid w:val="00F1499B"/>
    <w:rsid w:val="00F16948"/>
    <w:rsid w:val="00F35315"/>
    <w:rsid w:val="00F43988"/>
    <w:rsid w:val="00F526B8"/>
    <w:rsid w:val="00F717C1"/>
    <w:rsid w:val="00F915BA"/>
    <w:rsid w:val="00F94F75"/>
    <w:rsid w:val="00FA66F1"/>
    <w:rsid w:val="00FE02C8"/>
    <w:rsid w:val="00FE0F75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A2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A2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cp:lastPrinted>2022-09-06T13:35:00Z</cp:lastPrinted>
  <dcterms:created xsi:type="dcterms:W3CDTF">2022-11-16T22:28:00Z</dcterms:created>
  <dcterms:modified xsi:type="dcterms:W3CDTF">2022-11-16T22:28:00Z</dcterms:modified>
</cp:coreProperties>
</file>