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3D5F" w14:textId="77777777" w:rsidR="00A2037F" w:rsidRPr="004F177C" w:rsidRDefault="00A2037F" w:rsidP="00A2037F">
      <w:pPr>
        <w:rPr>
          <w:rFonts w:ascii="Poppins" w:hAnsi="Poppins" w:cs="Poppins"/>
          <w:b/>
          <w:sz w:val="22"/>
          <w:szCs w:val="22"/>
          <w:shd w:val="clear" w:color="auto" w:fill="FFFFFF"/>
        </w:rPr>
      </w:pPr>
      <w:bookmarkStart w:id="0" w:name="_Hlk67311269"/>
      <w:r w:rsidRPr="004F177C">
        <w:rPr>
          <w:rFonts w:ascii="Poppins" w:hAnsi="Poppins" w:cs="Poppins"/>
          <w:noProof/>
          <w:lang w:eastAsia="pl-PL"/>
        </w:rPr>
        <w:drawing>
          <wp:anchor distT="0" distB="0" distL="114300" distR="114300" simplePos="0" relativeHeight="251659264" behindDoc="0" locked="0" layoutInCell="1" allowOverlap="1" wp14:anchorId="185CF90B" wp14:editId="41CAE241">
            <wp:simplePos x="0" y="0"/>
            <wp:positionH relativeFrom="margin">
              <wp:align>left</wp:align>
            </wp:positionH>
            <wp:positionV relativeFrom="margin">
              <wp:posOffset>-29210</wp:posOffset>
            </wp:positionV>
            <wp:extent cx="3171190" cy="706120"/>
            <wp:effectExtent l="0" t="0" r="0" b="0"/>
            <wp:wrapSquare wrapText="bothSides"/>
            <wp:docPr id="6" name="Obraz 5">
              <a:extLst xmlns:a="http://schemas.openxmlformats.org/drawingml/2006/main">
                <a:ext uri="{FF2B5EF4-FFF2-40B4-BE49-F238E27FC236}">
                  <a16:creationId xmlns:a16="http://schemas.microsoft.com/office/drawing/2014/main" id="{E876A235-B608-4DDD-B52F-75C0F25F6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a:extLst>
                        <a:ext uri="{FF2B5EF4-FFF2-40B4-BE49-F238E27FC236}">
                          <a16:creationId xmlns:a16="http://schemas.microsoft.com/office/drawing/2014/main" id="{E876A235-B608-4DDD-B52F-75C0F25F6C3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71820" cy="706120"/>
                    </a:xfrm>
                    <a:prstGeom prst="rect">
                      <a:avLst/>
                    </a:prstGeom>
                  </pic:spPr>
                </pic:pic>
              </a:graphicData>
            </a:graphic>
          </wp:anchor>
        </w:drawing>
      </w:r>
    </w:p>
    <w:p w14:paraId="7D324FFB" w14:textId="77777777" w:rsidR="00A2037F" w:rsidRPr="004F177C" w:rsidRDefault="00A2037F" w:rsidP="00A2037F">
      <w:pPr>
        <w:rPr>
          <w:rFonts w:ascii="Poppins" w:hAnsi="Poppins" w:cs="Poppins"/>
          <w:b/>
          <w:sz w:val="22"/>
          <w:szCs w:val="22"/>
          <w:shd w:val="clear" w:color="auto" w:fill="FFFFFF"/>
        </w:rPr>
      </w:pPr>
    </w:p>
    <w:p w14:paraId="0E3354A9" w14:textId="77777777" w:rsidR="00A2037F" w:rsidRDefault="00A2037F" w:rsidP="00A2037F">
      <w:pPr>
        <w:rPr>
          <w:rFonts w:ascii="Poppins" w:hAnsi="Poppins" w:cs="Poppins"/>
          <w:b/>
          <w:sz w:val="22"/>
          <w:szCs w:val="22"/>
          <w:shd w:val="clear" w:color="auto" w:fill="FFFFFF"/>
        </w:rPr>
      </w:pPr>
    </w:p>
    <w:p w14:paraId="62439043" w14:textId="7B289B6E" w:rsidR="00A2037F" w:rsidRPr="005732BB" w:rsidRDefault="00A2037F" w:rsidP="00A2037F">
      <w:pPr>
        <w:rPr>
          <w:rFonts w:asciiTheme="majorHAnsi" w:hAnsiTheme="majorHAnsi" w:cstheme="majorHAnsi"/>
          <w:b/>
          <w:sz w:val="22"/>
          <w:szCs w:val="22"/>
          <w:shd w:val="clear" w:color="auto" w:fill="FFFFFF"/>
        </w:rPr>
      </w:pPr>
      <w:r w:rsidRPr="005732BB">
        <w:rPr>
          <w:rFonts w:asciiTheme="majorHAnsi" w:hAnsiTheme="majorHAnsi" w:cstheme="majorHAnsi"/>
          <w:b/>
          <w:sz w:val="22"/>
          <w:szCs w:val="22"/>
          <w:shd w:val="clear" w:color="auto" w:fill="FFFFFF"/>
        </w:rPr>
        <w:t>Warszawa</w:t>
      </w:r>
      <w:r w:rsidRPr="00DE3457">
        <w:rPr>
          <w:rFonts w:asciiTheme="majorHAnsi" w:hAnsiTheme="majorHAnsi" w:cstheme="majorHAnsi"/>
          <w:b/>
          <w:sz w:val="22"/>
          <w:szCs w:val="22"/>
          <w:shd w:val="clear" w:color="auto" w:fill="FFFFFF"/>
        </w:rPr>
        <w:t xml:space="preserve">, </w:t>
      </w:r>
      <w:r w:rsidR="00EF5A3B">
        <w:rPr>
          <w:rFonts w:asciiTheme="majorHAnsi" w:hAnsiTheme="majorHAnsi" w:cstheme="majorHAnsi"/>
          <w:b/>
          <w:sz w:val="22"/>
          <w:szCs w:val="22"/>
          <w:shd w:val="clear" w:color="auto" w:fill="FFFFFF"/>
        </w:rPr>
        <w:t>4</w:t>
      </w:r>
      <w:r w:rsidR="00DF0202">
        <w:rPr>
          <w:rFonts w:asciiTheme="majorHAnsi" w:hAnsiTheme="majorHAnsi" w:cstheme="majorHAnsi"/>
          <w:b/>
          <w:sz w:val="22"/>
          <w:szCs w:val="22"/>
          <w:shd w:val="clear" w:color="auto" w:fill="FFFFFF"/>
        </w:rPr>
        <w:t xml:space="preserve"> stycznia</w:t>
      </w:r>
      <w:r w:rsidRPr="00DE3457">
        <w:rPr>
          <w:rFonts w:asciiTheme="majorHAnsi" w:hAnsiTheme="majorHAnsi" w:cstheme="majorHAnsi"/>
          <w:b/>
          <w:sz w:val="22"/>
          <w:szCs w:val="22"/>
          <w:shd w:val="clear" w:color="auto" w:fill="FFFFFF"/>
        </w:rPr>
        <w:t xml:space="preserve"> 202</w:t>
      </w:r>
      <w:r w:rsidR="00DF0202">
        <w:rPr>
          <w:rFonts w:asciiTheme="majorHAnsi" w:hAnsiTheme="majorHAnsi" w:cstheme="majorHAnsi"/>
          <w:b/>
          <w:sz w:val="22"/>
          <w:szCs w:val="22"/>
          <w:shd w:val="clear" w:color="auto" w:fill="FFFFFF"/>
        </w:rPr>
        <w:t>2</w:t>
      </w:r>
      <w:r w:rsidRPr="000F6A29">
        <w:rPr>
          <w:rFonts w:asciiTheme="majorHAnsi" w:hAnsiTheme="majorHAnsi" w:cstheme="majorHAnsi"/>
          <w:b/>
          <w:sz w:val="22"/>
          <w:szCs w:val="22"/>
          <w:shd w:val="clear" w:color="auto" w:fill="FFFFFF"/>
        </w:rPr>
        <w:t xml:space="preserve"> roku</w:t>
      </w:r>
    </w:p>
    <w:p w14:paraId="5502555F" w14:textId="77777777" w:rsidR="00A2037F" w:rsidRPr="00D42FBC" w:rsidRDefault="00A2037F" w:rsidP="00A2037F">
      <w:pPr>
        <w:rPr>
          <w:rFonts w:ascii="Calibri Light" w:hAnsi="Calibri Light" w:cs="Calibri Light"/>
        </w:rPr>
      </w:pPr>
    </w:p>
    <w:p w14:paraId="6CC4D654" w14:textId="4706ABA1" w:rsidR="007E0AF1" w:rsidRPr="00920FEA" w:rsidRDefault="00A2037F" w:rsidP="00A856C4">
      <w:pPr>
        <w:pStyle w:val="Bezodstpw"/>
        <w:jc w:val="center"/>
        <w:rPr>
          <w:rFonts w:ascii="Calibri" w:eastAsia="Calibri" w:hAnsi="Calibri" w:cs="Calibri"/>
          <w:b/>
          <w:bCs/>
          <w:sz w:val="48"/>
          <w:szCs w:val="48"/>
        </w:rPr>
      </w:pPr>
      <w:r>
        <w:rPr>
          <w:rFonts w:ascii="Calibri" w:eastAsia="Calibri" w:hAnsi="Calibri" w:cs="Calibri"/>
          <w:b/>
          <w:bCs/>
          <w:sz w:val="48"/>
          <w:szCs w:val="48"/>
        </w:rPr>
        <w:t xml:space="preserve">ATAL </w:t>
      </w:r>
      <w:r w:rsidR="00DF0202">
        <w:rPr>
          <w:rFonts w:ascii="Calibri" w:eastAsia="Calibri" w:hAnsi="Calibri" w:cs="Calibri"/>
          <w:b/>
          <w:bCs/>
          <w:sz w:val="48"/>
          <w:szCs w:val="48"/>
        </w:rPr>
        <w:t>zakontraktował ponad 4,2 tys. lokali w 2021 roku</w:t>
      </w:r>
      <w:r>
        <w:rPr>
          <w:rFonts w:ascii="Calibri" w:eastAsia="Calibri" w:hAnsi="Calibri" w:cs="Calibri"/>
          <w:b/>
          <w:bCs/>
          <w:sz w:val="48"/>
          <w:szCs w:val="48"/>
        </w:rPr>
        <w:t xml:space="preserve"> </w:t>
      </w:r>
    </w:p>
    <w:p w14:paraId="59094379" w14:textId="77777777" w:rsidR="00A856C4" w:rsidRDefault="00A2037F" w:rsidP="00E96E87">
      <w:pPr>
        <w:suppressAutoHyphens/>
        <w:autoSpaceDE w:val="0"/>
        <w:spacing w:before="240" w:after="120" w:line="240" w:lineRule="auto"/>
        <w:jc w:val="both"/>
        <w:rPr>
          <w:rFonts w:asciiTheme="majorHAnsi" w:eastAsia="Times New Roman" w:hAnsiTheme="majorHAnsi" w:cstheme="majorHAnsi"/>
          <w:b/>
          <w:bCs/>
          <w:color w:val="000000"/>
          <w:sz w:val="22"/>
          <w:szCs w:val="22"/>
          <w:lang w:eastAsia="ar-SA"/>
        </w:rPr>
      </w:pPr>
      <w:r w:rsidRPr="00991150">
        <w:rPr>
          <w:rFonts w:asciiTheme="majorHAnsi" w:eastAsia="Times New Roman" w:hAnsiTheme="majorHAnsi" w:cstheme="majorHAnsi"/>
          <w:b/>
          <w:bCs/>
          <w:color w:val="000000"/>
          <w:sz w:val="22"/>
          <w:szCs w:val="22"/>
          <w:lang w:eastAsia="ar-SA"/>
        </w:rPr>
        <w:t>ATAL, ogólnopolski deweloper,</w:t>
      </w:r>
      <w:r>
        <w:rPr>
          <w:rFonts w:asciiTheme="majorHAnsi" w:eastAsia="Times New Roman" w:hAnsiTheme="majorHAnsi" w:cstheme="majorHAnsi"/>
          <w:b/>
          <w:bCs/>
          <w:color w:val="000000"/>
          <w:sz w:val="22"/>
          <w:szCs w:val="22"/>
          <w:lang w:eastAsia="ar-SA"/>
        </w:rPr>
        <w:t xml:space="preserve"> </w:t>
      </w:r>
      <w:r w:rsidR="00DF0202">
        <w:rPr>
          <w:rFonts w:asciiTheme="majorHAnsi" w:eastAsia="Times New Roman" w:hAnsiTheme="majorHAnsi" w:cstheme="majorHAnsi"/>
          <w:b/>
          <w:bCs/>
          <w:color w:val="000000"/>
          <w:sz w:val="22"/>
          <w:szCs w:val="22"/>
          <w:lang w:eastAsia="ar-SA"/>
        </w:rPr>
        <w:t>w</w:t>
      </w:r>
      <w:r w:rsidR="00920FEA">
        <w:rPr>
          <w:rFonts w:asciiTheme="majorHAnsi" w:eastAsia="Times New Roman" w:hAnsiTheme="majorHAnsi" w:cstheme="majorHAnsi"/>
          <w:b/>
          <w:bCs/>
          <w:color w:val="000000"/>
          <w:sz w:val="22"/>
          <w:szCs w:val="22"/>
          <w:lang w:eastAsia="ar-SA"/>
        </w:rPr>
        <w:t xml:space="preserve"> 2021</w:t>
      </w:r>
      <w:r>
        <w:rPr>
          <w:rFonts w:asciiTheme="majorHAnsi" w:eastAsia="Times New Roman" w:hAnsiTheme="majorHAnsi" w:cstheme="majorHAnsi"/>
          <w:b/>
          <w:bCs/>
          <w:color w:val="000000"/>
          <w:sz w:val="22"/>
          <w:szCs w:val="22"/>
          <w:lang w:eastAsia="ar-SA"/>
        </w:rPr>
        <w:t xml:space="preserve"> roku </w:t>
      </w:r>
      <w:r w:rsidR="00E96E87">
        <w:rPr>
          <w:rFonts w:asciiTheme="majorHAnsi" w:eastAsia="Times New Roman" w:hAnsiTheme="majorHAnsi" w:cstheme="majorHAnsi"/>
          <w:b/>
          <w:bCs/>
          <w:color w:val="000000"/>
          <w:sz w:val="22"/>
          <w:szCs w:val="22"/>
          <w:lang w:eastAsia="ar-SA"/>
        </w:rPr>
        <w:t xml:space="preserve">zakontraktował </w:t>
      </w:r>
      <w:r w:rsidR="00DF0202">
        <w:rPr>
          <w:rFonts w:asciiTheme="majorHAnsi" w:eastAsia="Times New Roman" w:hAnsiTheme="majorHAnsi" w:cstheme="majorHAnsi"/>
          <w:b/>
          <w:bCs/>
          <w:color w:val="000000"/>
          <w:sz w:val="22"/>
          <w:szCs w:val="22"/>
          <w:lang w:eastAsia="ar-SA"/>
        </w:rPr>
        <w:t>4258</w:t>
      </w:r>
      <w:r w:rsidR="00E96E87">
        <w:rPr>
          <w:rFonts w:asciiTheme="majorHAnsi" w:eastAsia="Times New Roman" w:hAnsiTheme="majorHAnsi" w:cstheme="majorHAnsi"/>
          <w:b/>
          <w:bCs/>
          <w:color w:val="000000"/>
          <w:sz w:val="22"/>
          <w:szCs w:val="22"/>
          <w:lang w:eastAsia="ar-SA"/>
        </w:rPr>
        <w:t xml:space="preserve"> lokali – co stanowi najlepszy wynik w historii spółki</w:t>
      </w:r>
      <w:r w:rsidR="00920FEA">
        <w:rPr>
          <w:rFonts w:asciiTheme="majorHAnsi" w:eastAsia="Times New Roman" w:hAnsiTheme="majorHAnsi" w:cstheme="majorHAnsi"/>
          <w:b/>
          <w:bCs/>
          <w:color w:val="000000"/>
          <w:sz w:val="22"/>
          <w:szCs w:val="22"/>
          <w:lang w:eastAsia="ar-SA"/>
        </w:rPr>
        <w:t xml:space="preserve">, wzrost rok do roku wyniósł </w:t>
      </w:r>
      <w:r w:rsidR="00DB4C86">
        <w:rPr>
          <w:rFonts w:asciiTheme="majorHAnsi" w:eastAsia="Times New Roman" w:hAnsiTheme="majorHAnsi" w:cstheme="majorHAnsi"/>
          <w:b/>
          <w:bCs/>
          <w:color w:val="000000"/>
          <w:sz w:val="22"/>
          <w:szCs w:val="22"/>
          <w:lang w:eastAsia="ar-SA"/>
        </w:rPr>
        <w:t>ponad 47</w:t>
      </w:r>
      <w:r w:rsidR="00920FEA">
        <w:rPr>
          <w:rFonts w:asciiTheme="majorHAnsi" w:eastAsia="Times New Roman" w:hAnsiTheme="majorHAnsi" w:cstheme="majorHAnsi"/>
          <w:b/>
          <w:bCs/>
          <w:color w:val="000000"/>
          <w:sz w:val="22"/>
          <w:szCs w:val="22"/>
          <w:lang w:eastAsia="ar-SA"/>
        </w:rPr>
        <w:t>%</w:t>
      </w:r>
      <w:r w:rsidR="00E96E87">
        <w:rPr>
          <w:rFonts w:asciiTheme="majorHAnsi" w:eastAsia="Times New Roman" w:hAnsiTheme="majorHAnsi" w:cstheme="majorHAnsi"/>
          <w:b/>
          <w:bCs/>
          <w:color w:val="000000"/>
          <w:sz w:val="22"/>
          <w:szCs w:val="22"/>
          <w:lang w:eastAsia="ar-SA"/>
        </w:rPr>
        <w:t>.</w:t>
      </w:r>
      <w:r w:rsidR="00920FEA">
        <w:rPr>
          <w:rFonts w:asciiTheme="majorHAnsi" w:eastAsia="Times New Roman" w:hAnsiTheme="majorHAnsi" w:cstheme="majorHAnsi"/>
          <w:b/>
          <w:bCs/>
          <w:color w:val="000000"/>
          <w:sz w:val="22"/>
          <w:szCs w:val="22"/>
          <w:lang w:eastAsia="ar-SA"/>
        </w:rPr>
        <w:t xml:space="preserve"> Całoroczna sprzedaż w </w:t>
      </w:r>
      <w:r w:rsidR="00DB4C86">
        <w:rPr>
          <w:rFonts w:asciiTheme="majorHAnsi" w:eastAsia="Times New Roman" w:hAnsiTheme="majorHAnsi" w:cstheme="majorHAnsi"/>
          <w:b/>
          <w:bCs/>
          <w:color w:val="000000"/>
          <w:sz w:val="22"/>
          <w:szCs w:val="22"/>
          <w:lang w:eastAsia="ar-SA"/>
        </w:rPr>
        <w:t>2020</w:t>
      </w:r>
      <w:r w:rsidR="00920FEA">
        <w:rPr>
          <w:rFonts w:asciiTheme="majorHAnsi" w:eastAsia="Times New Roman" w:hAnsiTheme="majorHAnsi" w:cstheme="majorHAnsi"/>
          <w:b/>
          <w:bCs/>
          <w:color w:val="000000"/>
          <w:sz w:val="22"/>
          <w:szCs w:val="22"/>
          <w:lang w:eastAsia="ar-SA"/>
        </w:rPr>
        <w:t xml:space="preserve"> roku wyniosła 2896 mieszkań, a w rekordowym 2019 roku było to 3180. </w:t>
      </w:r>
      <w:r w:rsidR="00DF0202">
        <w:rPr>
          <w:rFonts w:asciiTheme="majorHAnsi" w:eastAsia="Times New Roman" w:hAnsiTheme="majorHAnsi" w:cstheme="majorHAnsi"/>
          <w:b/>
          <w:bCs/>
          <w:color w:val="000000"/>
          <w:sz w:val="22"/>
          <w:szCs w:val="22"/>
          <w:lang w:eastAsia="ar-SA"/>
        </w:rPr>
        <w:t>Zeszłoroczny</w:t>
      </w:r>
      <w:r w:rsidR="001C4E15">
        <w:rPr>
          <w:rFonts w:asciiTheme="majorHAnsi" w:eastAsia="Times New Roman" w:hAnsiTheme="majorHAnsi" w:cstheme="majorHAnsi"/>
          <w:b/>
          <w:bCs/>
          <w:color w:val="000000"/>
          <w:sz w:val="22"/>
          <w:szCs w:val="22"/>
          <w:lang w:eastAsia="ar-SA"/>
        </w:rPr>
        <w:t xml:space="preserve"> plan zakłada</w:t>
      </w:r>
      <w:r w:rsidR="00DF0202">
        <w:rPr>
          <w:rFonts w:asciiTheme="majorHAnsi" w:eastAsia="Times New Roman" w:hAnsiTheme="majorHAnsi" w:cstheme="majorHAnsi"/>
          <w:b/>
          <w:bCs/>
          <w:color w:val="000000"/>
          <w:sz w:val="22"/>
          <w:szCs w:val="22"/>
          <w:lang w:eastAsia="ar-SA"/>
        </w:rPr>
        <w:t>ł</w:t>
      </w:r>
      <w:r w:rsidR="001C4E15">
        <w:rPr>
          <w:rFonts w:asciiTheme="majorHAnsi" w:eastAsia="Times New Roman" w:hAnsiTheme="majorHAnsi" w:cstheme="majorHAnsi"/>
          <w:b/>
          <w:bCs/>
          <w:color w:val="000000"/>
          <w:sz w:val="22"/>
          <w:szCs w:val="22"/>
          <w:lang w:eastAsia="ar-SA"/>
        </w:rPr>
        <w:t xml:space="preserve"> sprzedaż na poziomie 4 tys. lokali. </w:t>
      </w:r>
      <w:r w:rsidR="001C4E15" w:rsidRPr="00C408B3">
        <w:rPr>
          <w:rFonts w:asciiTheme="majorHAnsi" w:eastAsia="Times New Roman" w:hAnsiTheme="majorHAnsi" w:cstheme="majorHAnsi"/>
          <w:b/>
          <w:bCs/>
          <w:color w:val="000000"/>
          <w:sz w:val="22"/>
          <w:szCs w:val="22"/>
          <w:lang w:eastAsia="ar-SA"/>
        </w:rPr>
        <w:t xml:space="preserve">Grupa posiadała na koniec 2021 roku </w:t>
      </w:r>
      <w:r w:rsidR="00DF0202">
        <w:rPr>
          <w:rFonts w:asciiTheme="majorHAnsi" w:eastAsia="Times New Roman" w:hAnsiTheme="majorHAnsi" w:cstheme="majorHAnsi"/>
          <w:b/>
          <w:bCs/>
          <w:color w:val="000000"/>
          <w:sz w:val="22"/>
          <w:szCs w:val="22"/>
          <w:lang w:eastAsia="ar-SA"/>
        </w:rPr>
        <w:t>710</w:t>
      </w:r>
      <w:r w:rsidR="001C4E15" w:rsidRPr="00C408B3">
        <w:rPr>
          <w:rFonts w:asciiTheme="majorHAnsi" w:eastAsia="Times New Roman" w:hAnsiTheme="majorHAnsi" w:cstheme="majorHAnsi"/>
          <w:b/>
          <w:bCs/>
          <w:color w:val="000000"/>
          <w:sz w:val="22"/>
          <w:szCs w:val="22"/>
          <w:lang w:eastAsia="ar-SA"/>
        </w:rPr>
        <w:t xml:space="preserve"> aktywnych umów rezerwacyjnych</w:t>
      </w:r>
      <w:r w:rsidR="00DF0202">
        <w:rPr>
          <w:rFonts w:asciiTheme="majorHAnsi" w:eastAsia="Times New Roman" w:hAnsiTheme="majorHAnsi" w:cstheme="majorHAnsi"/>
          <w:b/>
          <w:bCs/>
          <w:color w:val="000000"/>
          <w:sz w:val="22"/>
          <w:szCs w:val="22"/>
          <w:lang w:eastAsia="ar-SA"/>
        </w:rPr>
        <w:t>, przed rokiem było to 507</w:t>
      </w:r>
      <w:r w:rsidR="001C4E15" w:rsidRPr="00C408B3">
        <w:rPr>
          <w:rFonts w:asciiTheme="majorHAnsi" w:eastAsia="Times New Roman" w:hAnsiTheme="majorHAnsi" w:cstheme="majorHAnsi"/>
          <w:b/>
          <w:bCs/>
          <w:color w:val="000000"/>
          <w:sz w:val="22"/>
          <w:szCs w:val="22"/>
          <w:lang w:eastAsia="ar-SA"/>
        </w:rPr>
        <w:t>.</w:t>
      </w:r>
      <w:r w:rsidR="00A856C4">
        <w:rPr>
          <w:rFonts w:asciiTheme="majorHAnsi" w:eastAsia="Times New Roman" w:hAnsiTheme="majorHAnsi" w:cstheme="majorHAnsi"/>
          <w:b/>
          <w:bCs/>
          <w:color w:val="000000"/>
          <w:sz w:val="22"/>
          <w:szCs w:val="22"/>
          <w:lang w:eastAsia="ar-SA"/>
        </w:rPr>
        <w:t xml:space="preserve"> </w:t>
      </w:r>
    </w:p>
    <w:p w14:paraId="7B6EA336" w14:textId="3F8E0946" w:rsidR="00920FEA" w:rsidRPr="001C4E15" w:rsidRDefault="00A856C4" w:rsidP="00E96E87">
      <w:pPr>
        <w:suppressAutoHyphens/>
        <w:autoSpaceDE w:val="0"/>
        <w:spacing w:before="240" w:after="120" w:line="240" w:lineRule="auto"/>
        <w:jc w:val="both"/>
        <w:rPr>
          <w:rFonts w:asciiTheme="majorHAnsi" w:eastAsia="Times New Roman" w:hAnsiTheme="majorHAnsi" w:cstheme="majorHAnsi"/>
          <w:color w:val="000000"/>
          <w:sz w:val="22"/>
          <w:szCs w:val="22"/>
          <w:lang w:eastAsia="ar-SA"/>
        </w:rPr>
      </w:pPr>
      <w:r>
        <w:rPr>
          <w:rFonts w:asciiTheme="majorHAnsi" w:eastAsia="Times New Roman" w:hAnsiTheme="majorHAnsi" w:cstheme="majorHAnsi"/>
          <w:b/>
          <w:bCs/>
          <w:color w:val="000000"/>
          <w:sz w:val="22"/>
          <w:szCs w:val="22"/>
          <w:lang w:eastAsia="ar-SA"/>
        </w:rPr>
        <w:t xml:space="preserve">Łączna liczba umów </w:t>
      </w:r>
      <w:r w:rsidRPr="00E96E87">
        <w:rPr>
          <w:rFonts w:asciiTheme="majorHAnsi" w:eastAsia="Times New Roman" w:hAnsiTheme="majorHAnsi" w:cstheme="majorHAnsi"/>
          <w:b/>
          <w:bCs/>
          <w:color w:val="000000"/>
          <w:sz w:val="22"/>
          <w:szCs w:val="22"/>
          <w:lang w:eastAsia="ar-SA"/>
        </w:rPr>
        <w:t>deweloperskich</w:t>
      </w:r>
      <w:r>
        <w:rPr>
          <w:rFonts w:asciiTheme="majorHAnsi" w:eastAsia="Times New Roman" w:hAnsiTheme="majorHAnsi" w:cstheme="majorHAnsi"/>
          <w:b/>
          <w:bCs/>
          <w:color w:val="000000"/>
          <w:sz w:val="22"/>
          <w:szCs w:val="22"/>
          <w:lang w:eastAsia="ar-SA"/>
        </w:rPr>
        <w:t xml:space="preserve">, </w:t>
      </w:r>
      <w:r w:rsidRPr="00E96E87">
        <w:rPr>
          <w:rFonts w:asciiTheme="majorHAnsi" w:eastAsia="Times New Roman" w:hAnsiTheme="majorHAnsi" w:cstheme="majorHAnsi"/>
          <w:b/>
          <w:bCs/>
          <w:color w:val="000000"/>
          <w:sz w:val="22"/>
          <w:szCs w:val="22"/>
          <w:lang w:eastAsia="ar-SA"/>
        </w:rPr>
        <w:t>przedwstępnych</w:t>
      </w:r>
      <w:r>
        <w:rPr>
          <w:rFonts w:asciiTheme="majorHAnsi" w:eastAsia="Times New Roman" w:hAnsiTheme="majorHAnsi" w:cstheme="majorHAnsi"/>
          <w:b/>
          <w:bCs/>
          <w:color w:val="000000"/>
          <w:sz w:val="22"/>
          <w:szCs w:val="22"/>
          <w:lang w:eastAsia="ar-SA"/>
        </w:rPr>
        <w:t xml:space="preserve"> i rezerwacyjnych wyniosła blisko 5 tys. na koniec 2021 roku</w:t>
      </w:r>
    </w:p>
    <w:p w14:paraId="4D8B3B44" w14:textId="207421CC" w:rsidR="00E96E87" w:rsidRDefault="00E96E87" w:rsidP="00E96E87">
      <w:pPr>
        <w:suppressAutoHyphens/>
        <w:autoSpaceDE w:val="0"/>
        <w:spacing w:before="240" w:after="120" w:line="240" w:lineRule="auto"/>
        <w:jc w:val="both"/>
        <w:rPr>
          <w:rFonts w:asciiTheme="majorHAnsi" w:eastAsia="Times New Roman" w:hAnsiTheme="majorHAnsi" w:cstheme="majorHAnsi"/>
          <w:b/>
          <w:bCs/>
          <w:color w:val="000000"/>
          <w:sz w:val="22"/>
          <w:szCs w:val="22"/>
          <w:lang w:eastAsia="ar-SA"/>
        </w:rPr>
      </w:pPr>
      <w:r w:rsidRPr="00E96E87">
        <w:rPr>
          <w:rFonts w:asciiTheme="majorHAnsi" w:eastAsia="Times New Roman" w:hAnsiTheme="majorHAnsi" w:cstheme="majorHAnsi"/>
          <w:b/>
          <w:bCs/>
          <w:color w:val="000000"/>
          <w:sz w:val="22"/>
          <w:szCs w:val="22"/>
          <w:lang w:eastAsia="ar-SA"/>
        </w:rPr>
        <w:t>W poszczególnych miesiącach 2021 roku spółka zakontraktowała następującą liczbę aktywnych umów deweloperskich i przedwstępnych: styczeń – 21</w:t>
      </w:r>
      <w:r w:rsidR="00DF0202">
        <w:rPr>
          <w:rFonts w:asciiTheme="majorHAnsi" w:eastAsia="Times New Roman" w:hAnsiTheme="majorHAnsi" w:cstheme="majorHAnsi"/>
          <w:b/>
          <w:bCs/>
          <w:color w:val="000000"/>
          <w:sz w:val="22"/>
          <w:szCs w:val="22"/>
          <w:lang w:eastAsia="ar-SA"/>
        </w:rPr>
        <w:t>0</w:t>
      </w:r>
      <w:r w:rsidRPr="00E96E87">
        <w:rPr>
          <w:rFonts w:asciiTheme="majorHAnsi" w:eastAsia="Times New Roman" w:hAnsiTheme="majorHAnsi" w:cstheme="majorHAnsi"/>
          <w:b/>
          <w:bCs/>
          <w:color w:val="000000"/>
          <w:sz w:val="22"/>
          <w:szCs w:val="22"/>
          <w:lang w:eastAsia="ar-SA"/>
        </w:rPr>
        <w:t>, luty – 23</w:t>
      </w:r>
      <w:r w:rsidR="00DF0202">
        <w:rPr>
          <w:rFonts w:asciiTheme="majorHAnsi" w:eastAsia="Times New Roman" w:hAnsiTheme="majorHAnsi" w:cstheme="majorHAnsi"/>
          <w:b/>
          <w:bCs/>
          <w:color w:val="000000"/>
          <w:sz w:val="22"/>
          <w:szCs w:val="22"/>
          <w:lang w:eastAsia="ar-SA"/>
        </w:rPr>
        <w:t>4</w:t>
      </w:r>
      <w:r>
        <w:rPr>
          <w:rFonts w:asciiTheme="majorHAnsi" w:eastAsia="Times New Roman" w:hAnsiTheme="majorHAnsi" w:cstheme="majorHAnsi"/>
          <w:b/>
          <w:bCs/>
          <w:color w:val="000000"/>
          <w:sz w:val="22"/>
          <w:szCs w:val="22"/>
          <w:lang w:eastAsia="ar-SA"/>
        </w:rPr>
        <w:t xml:space="preserve">, </w:t>
      </w:r>
      <w:r w:rsidRPr="00E96E87">
        <w:rPr>
          <w:rFonts w:asciiTheme="majorHAnsi" w:eastAsia="Times New Roman" w:hAnsiTheme="majorHAnsi" w:cstheme="majorHAnsi"/>
          <w:b/>
          <w:bCs/>
          <w:color w:val="000000"/>
          <w:sz w:val="22"/>
          <w:szCs w:val="22"/>
          <w:lang w:eastAsia="ar-SA"/>
        </w:rPr>
        <w:t xml:space="preserve">marzec – </w:t>
      </w:r>
      <w:r w:rsidR="00920FEA">
        <w:rPr>
          <w:rFonts w:asciiTheme="majorHAnsi" w:eastAsia="Times New Roman" w:hAnsiTheme="majorHAnsi" w:cstheme="majorHAnsi"/>
          <w:b/>
          <w:bCs/>
          <w:color w:val="000000"/>
          <w:sz w:val="22"/>
          <w:szCs w:val="22"/>
          <w:lang w:eastAsia="ar-SA"/>
        </w:rPr>
        <w:t>39</w:t>
      </w:r>
      <w:r w:rsidR="00DF0202">
        <w:rPr>
          <w:rFonts w:asciiTheme="majorHAnsi" w:eastAsia="Times New Roman" w:hAnsiTheme="majorHAnsi" w:cstheme="majorHAnsi"/>
          <w:b/>
          <w:bCs/>
          <w:color w:val="000000"/>
          <w:sz w:val="22"/>
          <w:szCs w:val="22"/>
          <w:lang w:eastAsia="ar-SA"/>
        </w:rPr>
        <w:t>8</w:t>
      </w:r>
      <w:r w:rsidR="00920FEA">
        <w:rPr>
          <w:rFonts w:asciiTheme="majorHAnsi" w:eastAsia="Times New Roman" w:hAnsiTheme="majorHAnsi" w:cstheme="majorHAnsi"/>
          <w:b/>
          <w:bCs/>
          <w:color w:val="000000"/>
          <w:sz w:val="22"/>
          <w:szCs w:val="22"/>
          <w:lang w:eastAsia="ar-SA"/>
        </w:rPr>
        <w:t>,</w:t>
      </w:r>
      <w:r>
        <w:rPr>
          <w:rFonts w:asciiTheme="majorHAnsi" w:eastAsia="Times New Roman" w:hAnsiTheme="majorHAnsi" w:cstheme="majorHAnsi"/>
          <w:b/>
          <w:bCs/>
          <w:color w:val="000000"/>
          <w:sz w:val="22"/>
          <w:szCs w:val="22"/>
          <w:lang w:eastAsia="ar-SA"/>
        </w:rPr>
        <w:t xml:space="preserve"> kwiecień – 413, maj – 3</w:t>
      </w:r>
      <w:r w:rsidR="00DF0202">
        <w:rPr>
          <w:rFonts w:asciiTheme="majorHAnsi" w:eastAsia="Times New Roman" w:hAnsiTheme="majorHAnsi" w:cstheme="majorHAnsi"/>
          <w:b/>
          <w:bCs/>
          <w:color w:val="000000"/>
          <w:sz w:val="22"/>
          <w:szCs w:val="22"/>
          <w:lang w:eastAsia="ar-SA"/>
        </w:rPr>
        <w:t>77</w:t>
      </w:r>
      <w:r>
        <w:rPr>
          <w:rFonts w:asciiTheme="majorHAnsi" w:eastAsia="Times New Roman" w:hAnsiTheme="majorHAnsi" w:cstheme="majorHAnsi"/>
          <w:b/>
          <w:bCs/>
          <w:color w:val="000000"/>
          <w:sz w:val="22"/>
          <w:szCs w:val="22"/>
          <w:lang w:eastAsia="ar-SA"/>
        </w:rPr>
        <w:t>, czerwiec – 4</w:t>
      </w:r>
      <w:r w:rsidR="001C4E15">
        <w:rPr>
          <w:rFonts w:asciiTheme="majorHAnsi" w:eastAsia="Times New Roman" w:hAnsiTheme="majorHAnsi" w:cstheme="majorHAnsi"/>
          <w:b/>
          <w:bCs/>
          <w:color w:val="000000"/>
          <w:sz w:val="22"/>
          <w:szCs w:val="22"/>
          <w:lang w:eastAsia="ar-SA"/>
        </w:rPr>
        <w:t>2</w:t>
      </w:r>
      <w:r w:rsidR="00DF0202">
        <w:rPr>
          <w:rFonts w:asciiTheme="majorHAnsi" w:eastAsia="Times New Roman" w:hAnsiTheme="majorHAnsi" w:cstheme="majorHAnsi"/>
          <w:b/>
          <w:bCs/>
          <w:color w:val="000000"/>
          <w:sz w:val="22"/>
          <w:szCs w:val="22"/>
          <w:lang w:eastAsia="ar-SA"/>
        </w:rPr>
        <w:t>6</w:t>
      </w:r>
      <w:r w:rsidR="001C4E15">
        <w:rPr>
          <w:rFonts w:asciiTheme="majorHAnsi" w:eastAsia="Times New Roman" w:hAnsiTheme="majorHAnsi" w:cstheme="majorHAnsi"/>
          <w:b/>
          <w:bCs/>
          <w:color w:val="000000"/>
          <w:sz w:val="22"/>
          <w:szCs w:val="22"/>
          <w:lang w:eastAsia="ar-SA"/>
        </w:rPr>
        <w:t>, lipiec – 3</w:t>
      </w:r>
      <w:r w:rsidR="00DF0202">
        <w:rPr>
          <w:rFonts w:asciiTheme="majorHAnsi" w:eastAsia="Times New Roman" w:hAnsiTheme="majorHAnsi" w:cstheme="majorHAnsi"/>
          <w:b/>
          <w:bCs/>
          <w:color w:val="000000"/>
          <w:sz w:val="22"/>
          <w:szCs w:val="22"/>
          <w:lang w:eastAsia="ar-SA"/>
        </w:rPr>
        <w:t>59</w:t>
      </w:r>
      <w:r w:rsidR="001C4E15">
        <w:rPr>
          <w:rFonts w:asciiTheme="majorHAnsi" w:eastAsia="Times New Roman" w:hAnsiTheme="majorHAnsi" w:cstheme="majorHAnsi"/>
          <w:b/>
          <w:bCs/>
          <w:color w:val="000000"/>
          <w:sz w:val="22"/>
          <w:szCs w:val="22"/>
          <w:lang w:eastAsia="ar-SA"/>
        </w:rPr>
        <w:t>, sierpień – 50</w:t>
      </w:r>
      <w:r w:rsidR="00DF0202">
        <w:rPr>
          <w:rFonts w:asciiTheme="majorHAnsi" w:eastAsia="Times New Roman" w:hAnsiTheme="majorHAnsi" w:cstheme="majorHAnsi"/>
          <w:b/>
          <w:bCs/>
          <w:color w:val="000000"/>
          <w:sz w:val="22"/>
          <w:szCs w:val="22"/>
          <w:lang w:eastAsia="ar-SA"/>
        </w:rPr>
        <w:t>1</w:t>
      </w:r>
      <w:r w:rsidR="001C4E15">
        <w:rPr>
          <w:rFonts w:asciiTheme="majorHAnsi" w:eastAsia="Times New Roman" w:hAnsiTheme="majorHAnsi" w:cstheme="majorHAnsi"/>
          <w:b/>
          <w:bCs/>
          <w:color w:val="000000"/>
          <w:sz w:val="22"/>
          <w:szCs w:val="22"/>
          <w:lang w:eastAsia="ar-SA"/>
        </w:rPr>
        <w:t xml:space="preserve"> i wrzesień – 30</w:t>
      </w:r>
      <w:r w:rsidR="00DF0202">
        <w:rPr>
          <w:rFonts w:asciiTheme="majorHAnsi" w:eastAsia="Times New Roman" w:hAnsiTheme="majorHAnsi" w:cstheme="majorHAnsi"/>
          <w:b/>
          <w:bCs/>
          <w:color w:val="000000"/>
          <w:sz w:val="22"/>
          <w:szCs w:val="22"/>
          <w:lang w:eastAsia="ar-SA"/>
        </w:rPr>
        <w:t>1, październik – 336, listopad – 35</w:t>
      </w:r>
      <w:r w:rsidR="00DB4C86">
        <w:rPr>
          <w:rFonts w:asciiTheme="majorHAnsi" w:eastAsia="Times New Roman" w:hAnsiTheme="majorHAnsi" w:cstheme="majorHAnsi"/>
          <w:b/>
          <w:bCs/>
          <w:color w:val="000000"/>
          <w:sz w:val="22"/>
          <w:szCs w:val="22"/>
          <w:lang w:eastAsia="ar-SA"/>
        </w:rPr>
        <w:t>3, grudzień - 350</w:t>
      </w:r>
      <w:r w:rsidRPr="00E96E87">
        <w:rPr>
          <w:rFonts w:asciiTheme="majorHAnsi" w:eastAsia="Times New Roman" w:hAnsiTheme="majorHAnsi" w:cstheme="majorHAnsi"/>
          <w:b/>
          <w:bCs/>
          <w:color w:val="000000"/>
          <w:sz w:val="22"/>
          <w:szCs w:val="22"/>
          <w:lang w:eastAsia="ar-SA"/>
        </w:rPr>
        <w:t>.</w:t>
      </w:r>
      <w:r>
        <w:rPr>
          <w:rFonts w:asciiTheme="majorHAnsi" w:eastAsia="Times New Roman" w:hAnsiTheme="majorHAnsi" w:cstheme="majorHAnsi"/>
          <w:b/>
          <w:bCs/>
          <w:color w:val="000000"/>
          <w:sz w:val="22"/>
          <w:szCs w:val="22"/>
          <w:lang w:eastAsia="ar-SA"/>
        </w:rPr>
        <w:t xml:space="preserve"> Wynik z </w:t>
      </w:r>
      <w:r w:rsidR="00920FEA">
        <w:rPr>
          <w:rFonts w:asciiTheme="majorHAnsi" w:eastAsia="Times New Roman" w:hAnsiTheme="majorHAnsi" w:cstheme="majorHAnsi"/>
          <w:b/>
          <w:bCs/>
          <w:color w:val="000000"/>
          <w:sz w:val="22"/>
          <w:szCs w:val="22"/>
          <w:lang w:eastAsia="ar-SA"/>
        </w:rPr>
        <w:t>sierpnia</w:t>
      </w:r>
      <w:r>
        <w:rPr>
          <w:rFonts w:asciiTheme="majorHAnsi" w:eastAsia="Times New Roman" w:hAnsiTheme="majorHAnsi" w:cstheme="majorHAnsi"/>
          <w:b/>
          <w:bCs/>
          <w:color w:val="000000"/>
          <w:sz w:val="22"/>
          <w:szCs w:val="22"/>
          <w:lang w:eastAsia="ar-SA"/>
        </w:rPr>
        <w:t xml:space="preserve"> to miesięczny rekord </w:t>
      </w:r>
      <w:r w:rsidR="00C36ED7">
        <w:rPr>
          <w:rFonts w:asciiTheme="majorHAnsi" w:eastAsia="Times New Roman" w:hAnsiTheme="majorHAnsi" w:cstheme="majorHAnsi"/>
          <w:b/>
          <w:bCs/>
          <w:color w:val="000000"/>
          <w:sz w:val="22"/>
          <w:szCs w:val="22"/>
          <w:lang w:eastAsia="ar-SA"/>
        </w:rPr>
        <w:t>sprzedaży</w:t>
      </w:r>
      <w:r w:rsidR="00D43A87">
        <w:rPr>
          <w:rFonts w:asciiTheme="majorHAnsi" w:eastAsia="Times New Roman" w:hAnsiTheme="majorHAnsi" w:cstheme="majorHAnsi"/>
          <w:b/>
          <w:bCs/>
          <w:color w:val="000000"/>
          <w:sz w:val="22"/>
          <w:szCs w:val="22"/>
          <w:lang w:eastAsia="ar-SA"/>
        </w:rPr>
        <w:t xml:space="preserve"> </w:t>
      </w:r>
      <w:r w:rsidR="006D668D" w:rsidRPr="00213241">
        <w:rPr>
          <w:rFonts w:asciiTheme="majorHAnsi" w:eastAsia="Times New Roman" w:hAnsiTheme="majorHAnsi" w:cstheme="majorHAnsi"/>
          <w:b/>
          <w:bCs/>
          <w:color w:val="000000"/>
          <w:sz w:val="22"/>
          <w:szCs w:val="22"/>
          <w:lang w:eastAsia="ar-SA"/>
        </w:rPr>
        <w:t>G</w:t>
      </w:r>
      <w:r w:rsidR="00213241">
        <w:rPr>
          <w:rFonts w:asciiTheme="majorHAnsi" w:eastAsia="Times New Roman" w:hAnsiTheme="majorHAnsi" w:cstheme="majorHAnsi"/>
          <w:b/>
          <w:bCs/>
          <w:color w:val="000000"/>
          <w:sz w:val="22"/>
          <w:szCs w:val="22"/>
          <w:lang w:eastAsia="ar-SA"/>
        </w:rPr>
        <w:t>rupy</w:t>
      </w:r>
      <w:r w:rsidR="006D668D" w:rsidRPr="006D668D">
        <w:rPr>
          <w:rFonts w:asciiTheme="majorHAnsi" w:eastAsia="Times New Roman" w:hAnsiTheme="majorHAnsi" w:cstheme="majorHAnsi"/>
          <w:b/>
          <w:bCs/>
          <w:color w:val="000000"/>
          <w:sz w:val="22"/>
          <w:szCs w:val="22"/>
          <w:lang w:eastAsia="ar-SA"/>
        </w:rPr>
        <w:t xml:space="preserve"> </w:t>
      </w:r>
      <w:r w:rsidR="006D668D" w:rsidRPr="00213241">
        <w:rPr>
          <w:rFonts w:asciiTheme="majorHAnsi" w:eastAsia="Times New Roman" w:hAnsiTheme="majorHAnsi" w:cstheme="majorHAnsi"/>
          <w:b/>
          <w:bCs/>
          <w:color w:val="000000"/>
          <w:sz w:val="22"/>
          <w:szCs w:val="22"/>
          <w:lang w:eastAsia="ar-SA"/>
        </w:rPr>
        <w:t>ATAL</w:t>
      </w:r>
      <w:r>
        <w:rPr>
          <w:rFonts w:asciiTheme="majorHAnsi" w:eastAsia="Times New Roman" w:hAnsiTheme="majorHAnsi" w:cstheme="majorHAnsi"/>
          <w:b/>
          <w:bCs/>
          <w:color w:val="000000"/>
          <w:sz w:val="22"/>
          <w:szCs w:val="22"/>
          <w:lang w:eastAsia="ar-SA"/>
        </w:rPr>
        <w:t xml:space="preserve"> </w:t>
      </w:r>
    </w:p>
    <w:p w14:paraId="37464B70" w14:textId="52397FC1" w:rsidR="00E91E44" w:rsidRDefault="00E91E44" w:rsidP="00E96E87">
      <w:pPr>
        <w:suppressAutoHyphens/>
        <w:autoSpaceDE w:val="0"/>
        <w:spacing w:before="240" w:after="120" w:line="240" w:lineRule="auto"/>
        <w:jc w:val="both"/>
        <w:rPr>
          <w:rFonts w:asciiTheme="majorHAnsi" w:eastAsia="Times New Roman" w:hAnsiTheme="majorHAnsi" w:cstheme="majorHAnsi"/>
          <w:b/>
          <w:bCs/>
          <w:color w:val="000000"/>
          <w:sz w:val="22"/>
          <w:szCs w:val="22"/>
          <w:lang w:eastAsia="ar-SA"/>
        </w:rPr>
      </w:pPr>
      <w:r>
        <w:rPr>
          <w:rFonts w:asciiTheme="majorHAnsi" w:eastAsia="Times New Roman" w:hAnsiTheme="majorHAnsi" w:cstheme="majorHAnsi"/>
          <w:b/>
          <w:bCs/>
          <w:color w:val="000000"/>
          <w:sz w:val="22"/>
          <w:szCs w:val="22"/>
          <w:lang w:eastAsia="ar-SA"/>
        </w:rPr>
        <w:t>Tegoroczny potencjał sprzedaży</w:t>
      </w:r>
      <w:r w:rsidR="00D43A87">
        <w:rPr>
          <w:rFonts w:asciiTheme="majorHAnsi" w:eastAsia="Times New Roman" w:hAnsiTheme="majorHAnsi" w:cstheme="majorHAnsi"/>
          <w:b/>
          <w:bCs/>
          <w:color w:val="000000"/>
          <w:sz w:val="22"/>
          <w:szCs w:val="22"/>
          <w:lang w:eastAsia="ar-SA"/>
        </w:rPr>
        <w:t xml:space="preserve"> </w:t>
      </w:r>
      <w:r w:rsidR="006D668D" w:rsidRPr="00213241">
        <w:rPr>
          <w:rFonts w:asciiTheme="majorHAnsi" w:eastAsia="Times New Roman" w:hAnsiTheme="majorHAnsi" w:cstheme="majorHAnsi"/>
          <w:b/>
          <w:bCs/>
          <w:color w:val="000000"/>
          <w:sz w:val="22"/>
          <w:szCs w:val="22"/>
          <w:lang w:eastAsia="ar-SA"/>
        </w:rPr>
        <w:t>G</w:t>
      </w:r>
      <w:r w:rsidR="00D43A87" w:rsidRPr="00213241">
        <w:rPr>
          <w:rFonts w:asciiTheme="majorHAnsi" w:eastAsia="Times New Roman" w:hAnsiTheme="majorHAnsi" w:cstheme="majorHAnsi"/>
          <w:b/>
          <w:bCs/>
          <w:color w:val="000000"/>
          <w:sz w:val="22"/>
          <w:szCs w:val="22"/>
          <w:lang w:eastAsia="ar-SA"/>
        </w:rPr>
        <w:t>rupa</w:t>
      </w:r>
      <w:r>
        <w:rPr>
          <w:rFonts w:asciiTheme="majorHAnsi" w:eastAsia="Times New Roman" w:hAnsiTheme="majorHAnsi" w:cstheme="majorHAnsi"/>
          <w:b/>
          <w:bCs/>
          <w:color w:val="000000"/>
          <w:sz w:val="22"/>
          <w:szCs w:val="22"/>
          <w:lang w:eastAsia="ar-SA"/>
        </w:rPr>
        <w:t xml:space="preserve"> wstępnie</w:t>
      </w:r>
      <w:r w:rsidR="007E0AF1">
        <w:rPr>
          <w:rFonts w:asciiTheme="majorHAnsi" w:eastAsia="Times New Roman" w:hAnsiTheme="majorHAnsi" w:cstheme="majorHAnsi"/>
          <w:b/>
          <w:bCs/>
          <w:color w:val="000000"/>
          <w:sz w:val="22"/>
          <w:szCs w:val="22"/>
          <w:lang w:eastAsia="ar-SA"/>
        </w:rPr>
        <w:t xml:space="preserve"> szacuje na </w:t>
      </w:r>
      <w:r w:rsidR="00A856C4">
        <w:rPr>
          <w:rFonts w:asciiTheme="majorHAnsi" w:eastAsia="Times New Roman" w:hAnsiTheme="majorHAnsi" w:cstheme="majorHAnsi"/>
          <w:b/>
          <w:bCs/>
          <w:color w:val="000000"/>
          <w:sz w:val="22"/>
          <w:szCs w:val="22"/>
          <w:lang w:eastAsia="ar-SA"/>
        </w:rPr>
        <w:t>4000</w:t>
      </w:r>
      <w:r w:rsidR="007E0AF1">
        <w:rPr>
          <w:rFonts w:asciiTheme="majorHAnsi" w:eastAsia="Times New Roman" w:hAnsiTheme="majorHAnsi" w:cstheme="majorHAnsi"/>
          <w:b/>
          <w:bCs/>
          <w:color w:val="000000"/>
          <w:sz w:val="22"/>
          <w:szCs w:val="22"/>
          <w:lang w:eastAsia="ar-SA"/>
        </w:rPr>
        <w:t xml:space="preserve"> lokali.</w:t>
      </w:r>
    </w:p>
    <w:p w14:paraId="37AC0878" w14:textId="77777777" w:rsidR="00183A23" w:rsidRDefault="00183A23" w:rsidP="00183A23">
      <w:pPr>
        <w:pStyle w:val="Bezodstpw"/>
        <w:jc w:val="both"/>
        <w:rPr>
          <w:rFonts w:asciiTheme="majorHAnsi" w:eastAsia="Times New Roman" w:hAnsiTheme="majorHAnsi" w:cstheme="majorHAnsi"/>
          <w:b/>
          <w:bCs/>
          <w:color w:val="000000"/>
          <w:sz w:val="22"/>
          <w:szCs w:val="22"/>
          <w:lang w:eastAsia="ar-SA"/>
        </w:rPr>
      </w:pPr>
    </w:p>
    <w:p w14:paraId="5DCDBB09" w14:textId="77777777" w:rsidR="00183A23" w:rsidRPr="00991150" w:rsidRDefault="00183A23" w:rsidP="00183A23">
      <w:pPr>
        <w:suppressAutoHyphens/>
        <w:autoSpaceDE w:val="0"/>
        <w:spacing w:before="240" w:after="120" w:line="240" w:lineRule="auto"/>
        <w:rPr>
          <w:rFonts w:asciiTheme="majorHAnsi" w:eastAsia="Times New Roman" w:hAnsiTheme="majorHAnsi" w:cstheme="majorHAnsi"/>
          <w:b/>
          <w:sz w:val="22"/>
          <w:szCs w:val="22"/>
          <w:lang w:eastAsia="ar-SA"/>
        </w:rPr>
      </w:pPr>
      <w:r w:rsidRPr="00991150">
        <w:rPr>
          <w:rFonts w:asciiTheme="majorHAnsi" w:hAnsiTheme="majorHAnsi" w:cstheme="majorHAnsi"/>
          <w:noProof/>
          <w:lang w:eastAsia="pl-PL"/>
        </w:rPr>
        <mc:AlternateContent>
          <mc:Choice Requires="wpg">
            <w:drawing>
              <wp:anchor distT="0" distB="0" distL="114300" distR="114300" simplePos="0" relativeHeight="251665408" behindDoc="0" locked="0" layoutInCell="1" allowOverlap="1" wp14:anchorId="2F9B7BC3" wp14:editId="7AE7B34A">
                <wp:simplePos x="0" y="0"/>
                <wp:positionH relativeFrom="column">
                  <wp:posOffset>43180</wp:posOffset>
                </wp:positionH>
                <wp:positionV relativeFrom="paragraph">
                  <wp:posOffset>157480</wp:posOffset>
                </wp:positionV>
                <wp:extent cx="461645" cy="295910"/>
                <wp:effectExtent l="0" t="0" r="0" b="0"/>
                <wp:wrapThrough wrapText="bothSides">
                  <wp:wrapPolygon edited="0">
                    <wp:start x="0" y="0"/>
                    <wp:lineTo x="0" y="20858"/>
                    <wp:lineTo x="7131" y="20858"/>
                    <wp:lineTo x="16935" y="20858"/>
                    <wp:lineTo x="20501" y="13906"/>
                    <wp:lineTo x="20501" y="0"/>
                    <wp:lineTo x="8022" y="0"/>
                    <wp:lineTo x="0" y="0"/>
                  </wp:wrapPolygon>
                </wp:wrapThrough>
                <wp:docPr id="19"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645" cy="295910"/>
                          <a:chOff x="0" y="0"/>
                          <a:chExt cx="461645" cy="295910"/>
                        </a:xfrm>
                      </wpg:grpSpPr>
                      <wps:wsp>
                        <wps:cNvPr id="20" name="Strzałka: pagon 18"/>
                        <wps:cNvSpPr/>
                        <wps:spPr>
                          <a:xfrm>
                            <a:off x="0" y="0"/>
                            <a:ext cx="271145" cy="286385"/>
                          </a:xfrm>
                          <a:prstGeom prst="chevron">
                            <a:avLst/>
                          </a:prstGeom>
                          <a:solidFill>
                            <a:srgbClr val="ED202F"/>
                          </a:solidFill>
                          <a:ln w="12700" cap="flat" cmpd="sng" algn="ctr">
                            <a:noFill/>
                            <a:prstDash val="solid"/>
                            <a:miter lim="800000"/>
                          </a:ln>
                          <a:effectLst/>
                        </wps:spPr>
                        <wps:bodyPr rtlCol="0" anchor="ctr"/>
                      </wps:wsp>
                      <wps:wsp>
                        <wps:cNvPr id="21" name="Strzałka: pagon 18"/>
                        <wps:cNvSpPr/>
                        <wps:spPr>
                          <a:xfrm>
                            <a:off x="190500" y="9525"/>
                            <a:ext cx="271145" cy="286385"/>
                          </a:xfrm>
                          <a:prstGeom prst="chevron">
                            <a:avLst/>
                          </a:prstGeom>
                          <a:solidFill>
                            <a:srgbClr val="ED202F"/>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6EF750D8" id="Grupa 36" o:spid="_x0000_s1026" style="position:absolute;margin-left:3.4pt;margin-top:12.4pt;width:36.35pt;height:23.3pt;z-index:251665408" coordsize="46164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pqaQIAAO0GAAAOAAAAZHJzL2Uyb0RvYy54bWzsVclu2zAQvRfoPxC8N1oSO7ZgOYc49iVo&#10;A7j9gAlFLQg3kIxl99h/6391SKl2mwBF4RY9VQeC5AxnefNmtLjZS0F23LpOq5JmFyklXDFddaop&#10;6aeP63czSpwHVYHQipf0wB29Wb59s+hNwXPdalFxS9CIckVvStp6b4okcazlEtyFNlyhsNZWgsej&#10;bZLKQo/WpUjyNJ0mvbaVsZpx5/B2NQjpMtqva878h7p23BNRUozNx9XG9TGsyXIBRWPBtB0bw4Az&#10;opDQKXR6NLUCD+TZdq9MyY5Z7XTtL5iWia7rjvGYA2aTpS+y2Vj9bGIuTdE35ggTQvsCp7PNsve7&#10;B0u6Cms3p0SBxBpt7LMBcjkN4PSmKVBnY83WPNghQ9zea/bkUJy8lIdzc1Le11aGR5go2UfUD0fU&#10;+d4ThpdX02x6NaGEoSifT+bZWBXWYulevWLt3S/fJVAMTmNox1B6g/xyJwjdn0G4bcHwWBkX4Bkh&#10;zJFhA4Rbbz/D1y9PUBADjVYkmw1oRvUAZcTWFW5E9XeAyq+z7AjUbHo5mwSbx4ShMNb5DdeShE1J&#10;sYd2Vg+8hN2984P2d61QF6dFV607IeLBNo+3wpIdYLPcrfI0X48OflITivRIl/w6xXQZYNPWAjxu&#10;pUEaOdVQAqLBacC8jT2hdPCAzocIV+DawUc0G1xAITuPc0B0sqSzNHyjZ6GClMdOHjMIpRxgC7tH&#10;XR0QfuvFrR56HBRrNbZ4cB8yHksfuPwvOJD9LQ5k83QSIMa2mE/yWGtEYiT/fy5ENp/NhTgdcKbG&#10;/hnnfxjaP54jd05/qeU3AAAA//8DAFBLAwQUAAYACAAAACEA7MkZoN0AAAAGAQAADwAAAGRycy9k&#10;b3ducmV2LnhtbEyOQUvDQBSE74L/YXmCN7tJbWuN2ZRS1FMRbAXp7TV5TUKzb0N2m6T/3udJT8Mw&#10;w8yXrkbbqJ46Xzs2EE8iUMS5K2ouDXzt3x6WoHxALrBxTAau5GGV3d6kmBRu4E/qd6FUMsI+QQNV&#10;CG2itc8rsugnriWW7OQ6i0FsV+qiw0HGbaOnUbTQFmuWhwpb2lSUn3cXa+B9wGH9GL/22/Npcz3s&#10;5x/f25iMub8b1y+gAo3hrwy/+IIOmTAd3YULrxoDCwEPBqYzUYmfnuegjqLxDHSW6v/42Q8AAAD/&#10;/wMAUEsBAi0AFAAGAAgAAAAhALaDOJL+AAAA4QEAABMAAAAAAAAAAAAAAAAAAAAAAFtDb250ZW50&#10;X1R5cGVzXS54bWxQSwECLQAUAAYACAAAACEAOP0h/9YAAACUAQAACwAAAAAAAAAAAAAAAAAvAQAA&#10;X3JlbHMvLnJlbHNQSwECLQAUAAYACAAAACEAbnSqamkCAADtBgAADgAAAAAAAAAAAAAAAAAuAgAA&#10;ZHJzL2Uyb0RvYy54bWxQSwECLQAUAAYACAAAACEA7MkZoN0AAAAGAQAADwAAAAAAAAAAAAAAAADD&#10;BAAAZHJzL2Rvd25yZXYueG1sUEsFBgAAAAAEAAQA8wAAAM0F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trzałka: pagon 18" o:spid="_x0000_s1027" type="#_x0000_t55" style="position:absolute;width:271145;height:28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vEvgAAANsAAAAPAAAAZHJzL2Rvd25yZXYueG1sRE/Pa8Iw&#10;FL4P/B/CE3ZbU6WUURtFVsa8qsPzo3mmZc1LaGLb/ffLYeDx4/tdHxY7iInG0DtWsMlyEMSt0z0b&#10;Bd/Xz7d3ECEiaxwck4JfCnDYr15qrLSb+UzTJRqRQjhUqKCL0VdShrYjiyFznjhxdzdajAmORuoR&#10;5xRuB7nN81Ja7Dk1dOjpo6P25/KwCsyxuX1NRTyH0ptQ+FPTl3mj1Ot6Oe5ARFriU/zvPmkF27Q+&#10;fUk/QO7/AAAA//8DAFBLAQItABQABgAIAAAAIQDb4fbL7gAAAIUBAAATAAAAAAAAAAAAAAAAAAAA&#10;AABbQ29udGVudF9UeXBlc10ueG1sUEsBAi0AFAAGAAgAAAAhAFr0LFu/AAAAFQEAAAsAAAAAAAAA&#10;AAAAAAAAHwEAAF9yZWxzLy5yZWxzUEsBAi0AFAAGAAgAAAAhACeiq8S+AAAA2wAAAA8AAAAAAAAA&#10;AAAAAAAABwIAAGRycy9kb3ducmV2LnhtbFBLBQYAAAAAAwADALcAAADyAgAAAAA=&#10;" adj="10800" fillcolor="#ed202f" stroked="f" strokeweight="1pt"/>
                <v:shape id="Strzałka: pagon 18" o:spid="_x0000_s1028" type="#_x0000_t55" style="position:absolute;left:190500;top:9525;width:271145;height:28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5fvwAAANsAAAAPAAAAZHJzL2Rvd25yZXYueG1sRI9Bi8Iw&#10;FITvC/6H8ARva6pIWapRxCJ61V08P5pnWmxeQhNr/fdGEPY4zMw3zGoz2Fb01IXGsYLZNANBXDnd&#10;sFHw97v//gERIrLG1jEpeFKAzXr0tcJCuwefqD9HIxKEQ4EK6hh9IWWoarIYps4TJ+/qOosxyc5I&#10;3eEjwW0r51mWS4sNp4UaPe1qqm7nu1VgtuXl0C/iKeTehIU/lk2elUpNxsN2CSLSEP/Dn/ZRK5jP&#10;4P0l/QC5fgEAAP//AwBQSwECLQAUAAYACAAAACEA2+H2y+4AAACFAQAAEwAAAAAAAAAAAAAAAAAA&#10;AAAAW0NvbnRlbnRfVHlwZXNdLnhtbFBLAQItABQABgAIAAAAIQBa9CxbvwAAABUBAAALAAAAAAAA&#10;AAAAAAAAAB8BAABfcmVscy8ucmVsc1BLAQItABQABgAIAAAAIQBI7g5fvwAAANsAAAAPAAAAAAAA&#10;AAAAAAAAAAcCAABkcnMvZG93bnJldi54bWxQSwUGAAAAAAMAAwC3AAAA8wIAAAAA&#10;" adj="10800" fillcolor="#ed202f" stroked="f" strokeweight="1pt"/>
                <w10:wrap type="through"/>
              </v:group>
            </w:pict>
          </mc:Fallback>
        </mc:AlternateContent>
      </w:r>
    </w:p>
    <w:p w14:paraId="388D2123" w14:textId="77777777" w:rsidR="00183A23" w:rsidRDefault="00183A23" w:rsidP="00183A23">
      <w:pPr>
        <w:pStyle w:val="Bezodstpw"/>
        <w:jc w:val="both"/>
        <w:rPr>
          <w:rFonts w:asciiTheme="majorHAnsi" w:eastAsia="Times New Roman" w:hAnsiTheme="majorHAnsi" w:cstheme="majorHAnsi"/>
          <w:bCs/>
          <w:i/>
          <w:iCs/>
          <w:color w:val="000000"/>
          <w:sz w:val="22"/>
          <w:szCs w:val="22"/>
          <w:lang w:eastAsia="ar-SA"/>
        </w:rPr>
      </w:pPr>
    </w:p>
    <w:p w14:paraId="7A95CEF2" w14:textId="77777777" w:rsidR="00E91E44" w:rsidRDefault="00DB4C86" w:rsidP="00183A23">
      <w:pPr>
        <w:pStyle w:val="Bezodstpw"/>
        <w:jc w:val="both"/>
        <w:rPr>
          <w:rFonts w:asciiTheme="majorHAnsi" w:eastAsia="Times New Roman" w:hAnsiTheme="majorHAnsi" w:cstheme="majorHAnsi"/>
          <w:bCs/>
          <w:i/>
          <w:iCs/>
          <w:color w:val="000000"/>
          <w:sz w:val="22"/>
          <w:szCs w:val="22"/>
          <w:lang w:eastAsia="ar-SA"/>
        </w:rPr>
      </w:pPr>
      <w:r>
        <w:rPr>
          <w:rFonts w:asciiTheme="majorHAnsi" w:eastAsia="Times New Roman" w:hAnsiTheme="majorHAnsi" w:cstheme="majorHAnsi"/>
          <w:bCs/>
          <w:i/>
          <w:iCs/>
          <w:color w:val="000000"/>
          <w:sz w:val="22"/>
          <w:szCs w:val="22"/>
          <w:lang w:eastAsia="ar-SA"/>
        </w:rPr>
        <w:t xml:space="preserve">Ubiegły rok </w:t>
      </w:r>
      <w:r w:rsidR="00F13203">
        <w:rPr>
          <w:rFonts w:asciiTheme="majorHAnsi" w:eastAsia="Times New Roman" w:hAnsiTheme="majorHAnsi" w:cstheme="majorHAnsi"/>
          <w:bCs/>
          <w:i/>
          <w:iCs/>
          <w:color w:val="000000"/>
          <w:sz w:val="22"/>
          <w:szCs w:val="22"/>
          <w:lang w:eastAsia="ar-SA"/>
        </w:rPr>
        <w:t>był rekordowy dla Grupy ATAL. Mimo drugiego roku zdominowanego przez walkę</w:t>
      </w:r>
      <w:r w:rsidR="004B2052">
        <w:rPr>
          <w:rFonts w:asciiTheme="majorHAnsi" w:eastAsia="Times New Roman" w:hAnsiTheme="majorHAnsi" w:cstheme="majorHAnsi"/>
          <w:bCs/>
          <w:i/>
          <w:iCs/>
          <w:color w:val="000000"/>
          <w:sz w:val="22"/>
          <w:szCs w:val="22"/>
          <w:lang w:eastAsia="ar-SA"/>
        </w:rPr>
        <w:t xml:space="preserve"> z</w:t>
      </w:r>
      <w:r w:rsidR="00F13203">
        <w:rPr>
          <w:rFonts w:asciiTheme="majorHAnsi" w:eastAsia="Times New Roman" w:hAnsiTheme="majorHAnsi" w:cstheme="majorHAnsi"/>
          <w:bCs/>
          <w:i/>
          <w:iCs/>
          <w:color w:val="000000"/>
          <w:sz w:val="22"/>
          <w:szCs w:val="22"/>
          <w:lang w:eastAsia="ar-SA"/>
        </w:rPr>
        <w:t xml:space="preserve"> koronawirusem udało się nam osiągnąć historycznie najwyższy wskaźnik kontraktacji. Pierwsze miesiące po podwyżce stóp procentowych nie przyniosły istotnego wpływu na sprzedaż mieszkań przez ATAL. Nie można jednak wykluczyć, że efekt ten nie będzie widoczny w sprzedaży w roku bieżącym, szczególnie że ryzyko dalszego podnoszenia stóp procentowych jest </w:t>
      </w:r>
      <w:r w:rsidR="004B2052">
        <w:rPr>
          <w:rFonts w:asciiTheme="majorHAnsi" w:eastAsia="Times New Roman" w:hAnsiTheme="majorHAnsi" w:cstheme="majorHAnsi"/>
          <w:bCs/>
          <w:i/>
          <w:iCs/>
          <w:color w:val="000000"/>
          <w:sz w:val="22"/>
          <w:szCs w:val="22"/>
          <w:lang w:eastAsia="ar-SA"/>
        </w:rPr>
        <w:t xml:space="preserve">spore. </w:t>
      </w:r>
    </w:p>
    <w:p w14:paraId="54B2DA71" w14:textId="77777777" w:rsidR="00E91E44" w:rsidRDefault="00E91E44" w:rsidP="00183A23">
      <w:pPr>
        <w:pStyle w:val="Bezodstpw"/>
        <w:jc w:val="both"/>
        <w:rPr>
          <w:rFonts w:asciiTheme="majorHAnsi" w:eastAsia="Times New Roman" w:hAnsiTheme="majorHAnsi" w:cstheme="majorHAnsi"/>
          <w:bCs/>
          <w:i/>
          <w:iCs/>
          <w:color w:val="000000"/>
          <w:sz w:val="22"/>
          <w:szCs w:val="22"/>
          <w:lang w:eastAsia="ar-SA"/>
        </w:rPr>
      </w:pPr>
    </w:p>
    <w:p w14:paraId="46BFD64D" w14:textId="23BA217D" w:rsidR="004B2052" w:rsidRDefault="004B2052" w:rsidP="00183A23">
      <w:pPr>
        <w:pStyle w:val="Bezodstpw"/>
        <w:jc w:val="both"/>
        <w:rPr>
          <w:rFonts w:asciiTheme="majorHAnsi" w:eastAsia="Times New Roman" w:hAnsiTheme="majorHAnsi" w:cstheme="majorHAnsi"/>
          <w:bCs/>
          <w:i/>
          <w:iCs/>
          <w:color w:val="000000"/>
          <w:sz w:val="22"/>
          <w:szCs w:val="22"/>
          <w:lang w:eastAsia="ar-SA"/>
        </w:rPr>
      </w:pPr>
      <w:r>
        <w:rPr>
          <w:rFonts w:asciiTheme="majorHAnsi" w:eastAsia="Times New Roman" w:hAnsiTheme="majorHAnsi" w:cstheme="majorHAnsi"/>
          <w:bCs/>
          <w:i/>
          <w:iCs/>
          <w:color w:val="000000"/>
          <w:sz w:val="22"/>
          <w:szCs w:val="22"/>
          <w:lang w:eastAsia="ar-SA"/>
        </w:rPr>
        <w:t>Warto jednak podkreślić, że ATAL jest jedną z największych firm deweloperskich w Polsce o zdywersyfikowanym portfolio projektów zlokalizowanych w 7 największych aglomeracjach w kraju</w:t>
      </w:r>
      <w:r w:rsidR="00E91E44">
        <w:rPr>
          <w:rFonts w:asciiTheme="majorHAnsi" w:eastAsia="Times New Roman" w:hAnsiTheme="majorHAnsi" w:cstheme="majorHAnsi"/>
          <w:bCs/>
          <w:i/>
          <w:iCs/>
          <w:color w:val="000000"/>
          <w:sz w:val="22"/>
          <w:szCs w:val="22"/>
          <w:lang w:eastAsia="ar-SA"/>
        </w:rPr>
        <w:t>, bez istotnej ekspozycji na zakupy inwestycyjne</w:t>
      </w:r>
      <w:r>
        <w:rPr>
          <w:rFonts w:asciiTheme="majorHAnsi" w:eastAsia="Times New Roman" w:hAnsiTheme="majorHAnsi" w:cstheme="majorHAnsi"/>
          <w:bCs/>
          <w:i/>
          <w:iCs/>
          <w:color w:val="000000"/>
          <w:sz w:val="22"/>
          <w:szCs w:val="22"/>
          <w:lang w:eastAsia="ar-SA"/>
        </w:rPr>
        <w:t xml:space="preserve">. Budowane przez ostatnie lata przewagi konkurencyjne będą miały pozytywny wpływ na dalszą działalność Grupy, co powinno być widoczne w dalej raportowanych wskaźnikach operacyjnych. Nie spodziewamy się, by dla ATAL ten rok przyniósł większe zmiany względem roku poprzedniego w liczbie prowadzonych </w:t>
      </w:r>
      <w:r w:rsidR="00E91E44">
        <w:rPr>
          <w:rFonts w:asciiTheme="majorHAnsi" w:eastAsia="Times New Roman" w:hAnsiTheme="majorHAnsi" w:cstheme="majorHAnsi"/>
          <w:bCs/>
          <w:i/>
          <w:iCs/>
          <w:color w:val="000000"/>
          <w:sz w:val="22"/>
          <w:szCs w:val="22"/>
          <w:lang w:eastAsia="ar-SA"/>
        </w:rPr>
        <w:t>budów</w:t>
      </w:r>
      <w:r>
        <w:rPr>
          <w:rFonts w:asciiTheme="majorHAnsi" w:eastAsia="Times New Roman" w:hAnsiTheme="majorHAnsi" w:cstheme="majorHAnsi"/>
          <w:bCs/>
          <w:i/>
          <w:iCs/>
          <w:color w:val="000000"/>
          <w:sz w:val="22"/>
          <w:szCs w:val="22"/>
          <w:lang w:eastAsia="ar-SA"/>
        </w:rPr>
        <w:t xml:space="preserve">, wejść do sprzedaży kolejnych </w:t>
      </w:r>
      <w:r w:rsidR="00E91E44">
        <w:rPr>
          <w:rFonts w:asciiTheme="majorHAnsi" w:eastAsia="Times New Roman" w:hAnsiTheme="majorHAnsi" w:cstheme="majorHAnsi"/>
          <w:bCs/>
          <w:i/>
          <w:iCs/>
          <w:color w:val="000000"/>
          <w:sz w:val="22"/>
          <w:szCs w:val="22"/>
          <w:lang w:eastAsia="ar-SA"/>
        </w:rPr>
        <w:t>projektów czy kontraktacji, jak i wydań. ATAL jest czołowym deweloperem, który jest w pełni przygotowany na obecną sytuację w sektorze mieszkaniowym.</w:t>
      </w:r>
    </w:p>
    <w:p w14:paraId="5423A047" w14:textId="77777777" w:rsidR="00183A23" w:rsidRPr="00991150" w:rsidRDefault="00183A23" w:rsidP="00183A23">
      <w:pPr>
        <w:pStyle w:val="Bezodstpw"/>
        <w:rPr>
          <w:rFonts w:asciiTheme="majorHAnsi" w:eastAsia="Times New Roman" w:hAnsiTheme="majorHAnsi" w:cstheme="majorHAnsi"/>
          <w:bCs/>
          <w:i/>
          <w:iCs/>
          <w:color w:val="000000"/>
          <w:sz w:val="22"/>
          <w:szCs w:val="22"/>
          <w:lang w:eastAsia="ar-SA"/>
        </w:rPr>
      </w:pPr>
      <w:r w:rsidRPr="00991150">
        <w:rPr>
          <w:rFonts w:asciiTheme="majorHAnsi" w:hAnsiTheme="majorHAnsi" w:cstheme="majorHAnsi"/>
          <w:noProof/>
          <w:lang w:eastAsia="pl-PL"/>
        </w:rPr>
        <mc:AlternateContent>
          <mc:Choice Requires="wpg">
            <w:drawing>
              <wp:anchor distT="0" distB="0" distL="114300" distR="114300" simplePos="0" relativeHeight="251666432" behindDoc="0" locked="0" layoutInCell="1" allowOverlap="1" wp14:anchorId="25D61AB7" wp14:editId="21CBA9A3">
                <wp:simplePos x="0" y="0"/>
                <wp:positionH relativeFrom="column">
                  <wp:posOffset>5257799</wp:posOffset>
                </wp:positionH>
                <wp:positionV relativeFrom="paragraph">
                  <wp:posOffset>115570</wp:posOffset>
                </wp:positionV>
                <wp:extent cx="461645" cy="295910"/>
                <wp:effectExtent l="0" t="0" r="0" b="8890"/>
                <wp:wrapThrough wrapText="bothSides">
                  <wp:wrapPolygon edited="0">
                    <wp:start x="3565" y="0"/>
                    <wp:lineTo x="0" y="6953"/>
                    <wp:lineTo x="0" y="20858"/>
                    <wp:lineTo x="12479" y="20858"/>
                    <wp:lineTo x="20501" y="20858"/>
                    <wp:lineTo x="20501" y="0"/>
                    <wp:lineTo x="13370" y="0"/>
                    <wp:lineTo x="3565" y="0"/>
                  </wp:wrapPolygon>
                </wp:wrapThrough>
                <wp:docPr id="16"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645" cy="295910"/>
                          <a:chOff x="0" y="0"/>
                          <a:chExt cx="461645" cy="295910"/>
                        </a:xfrm>
                      </wpg:grpSpPr>
                      <wps:wsp>
                        <wps:cNvPr id="17" name="Strzałka: pagon 18"/>
                        <wps:cNvSpPr/>
                        <wps:spPr>
                          <a:xfrm rot="10800000">
                            <a:off x="0" y="0"/>
                            <a:ext cx="271145" cy="286385"/>
                          </a:xfrm>
                          <a:prstGeom prst="chevron">
                            <a:avLst/>
                          </a:prstGeom>
                          <a:solidFill>
                            <a:srgbClr val="ED202F"/>
                          </a:solidFill>
                          <a:ln w="12700" cap="flat" cmpd="sng" algn="ctr">
                            <a:noFill/>
                            <a:prstDash val="solid"/>
                            <a:miter lim="800000"/>
                          </a:ln>
                          <a:effectLst/>
                        </wps:spPr>
                        <wps:bodyPr rtlCol="0" anchor="ctr"/>
                      </wps:wsp>
                      <wps:wsp>
                        <wps:cNvPr id="18" name="Strzałka: pagon 18"/>
                        <wps:cNvSpPr/>
                        <wps:spPr>
                          <a:xfrm rot="10800000">
                            <a:off x="190500" y="9525"/>
                            <a:ext cx="271145" cy="286385"/>
                          </a:xfrm>
                          <a:prstGeom prst="chevron">
                            <a:avLst/>
                          </a:prstGeom>
                          <a:solidFill>
                            <a:srgbClr val="ED202F"/>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01A8598" id="Grupa 35" o:spid="_x0000_s1026" style="position:absolute;margin-left:414pt;margin-top:9.1pt;width:36.35pt;height:23.3pt;z-index:251666432" coordsize="46164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O1pdgIAAAsHAAAOAAAAZHJzL2Uyb0RvYy54bWzsVclu2zAQvRfoPxC8N1oSb0LkHOLEl6AN&#10;4PQDxhS1INxAMpbdY/+t/9UhpdhtAuSQFj1VB4HUkLO892Z0ebWXguy4dZ1WJc3OUkq4YrrqVFPS&#10;rw+3n+aUOA+qAqEVL+mBO3q1/PjhsjcFz3WrRcUtQSfKFb0paeu9KZLEsZZLcGfacIXGWlsJHre2&#10;SSoLPXqXIsnTdJr02lbGasadw6+rwUiX0X9dc+a/1LXjnoiSYm4+vm18b8M7WV5C0VgwbcfGNOAd&#10;WUjoFAY9ulqBB/Jku1euZMesdrr2Z0zLRNd1x3isAavJ0hfVrK1+MrGWpugbc4QJoX2B07vdss+7&#10;e0u6CrmbUqJAIkdr+2SAnE8COL1pCjyztmZj7u1QIS7vNHt0aE5e2sO+OR3e11aGS1go2UfUD0fU&#10;+d4Thh8vptn0YkIJQ1O+mCyykRXWInWvbrH25s17CRRD0JjaMZXeoL7cCUL3ZxBuWjA8MuMCPM8Q&#10;zp4h3Hj7DX58f4SCGGi0Itl8QDMeD1BGbF3hRlRDzsRq1GeWztPwRDm9hVs+y7IjbvPp+TwSdqwf&#10;CmOdX3MtSViUFFtqZ/UgU9jdOR/4O50KNDktuuq2EyJubLO9FpbsAHvnZpWn+W2oAa/8dkwo0mPW&#10;+QxTJgywh2sBHpfSoKqcaigB0eBwYN7GmpQOEdDTEHsFrh1iRLchBBSy8zgWRCdLOqIxRBYqWHls&#10;7LGCwOyAYlhtdXVANqwX13poeVCs1djxIXxwMiohSPtfSALn39BVf1kS2SKdBMSxaRaTPFKPwIyt&#10;8V8aUdzvlkacHThxo9rHv0MY6b/uo5RO/7DlTwAAAP//AwBQSwMEFAAGAAgAAAAhAMIaWJ7gAAAA&#10;CQEAAA8AAABkcnMvZG93bnJldi54bWxMj8FOwzAQRO9I/IO1SNyonQDFhDhVVQGnqhItUtXbNt4m&#10;UWM7it0k/XvMCY6jGc28yReTadlAvW+cVZDMBDCypdONrRR87z4eJDAf0GpsnSUFV/KwKG5vcsy0&#10;G+0XDdtQsVhifYYK6hC6jHNf1mTQz1xHNnon1xsMUfYV1z2Osdy0PBVizg02Ni7U2NGqpvK8vRgF&#10;nyOOy8fkfVifT6vrYfe82a8TUur+blq+AQs0hb8w/OJHdCgi09FdrPasVSBTGb+EaMgUWAy8CvEC&#10;7Khg/iSBFzn//6D4AQAA//8DAFBLAQItABQABgAIAAAAIQC2gziS/gAAAOEBAAATAAAAAAAAAAAA&#10;AAAAAAAAAABbQ29udGVudF9UeXBlc10ueG1sUEsBAi0AFAAGAAgAAAAhADj9If/WAAAAlAEAAAsA&#10;AAAAAAAAAAAAAAAALwEAAF9yZWxzLy5yZWxzUEsBAi0AFAAGAAgAAAAhALvw7Wl2AgAACwcAAA4A&#10;AAAAAAAAAAAAAAAALgIAAGRycy9lMm9Eb2MueG1sUEsBAi0AFAAGAAgAAAAhAMIaWJ7gAAAACQEA&#10;AA8AAAAAAAAAAAAAAAAA0AQAAGRycy9kb3ducmV2LnhtbFBLBQYAAAAABAAEAPMAAADdBQAAAAA=&#10;">
                <v:shape id="Strzałka: pagon 18" o:spid="_x0000_s1027" type="#_x0000_t55" style="position:absolute;width:271145;height:28638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FPwAAAANsAAAAPAAAAZHJzL2Rvd25yZXYueG1sRE9Ni8Iw&#10;EL0L/ocwgjdN3YOr1SgiWIQFQaueh2Zsi82kJFmt/36zIHibx/uc5bozjXiQ87VlBZNxAoK4sLrm&#10;UsE5341mIHxA1thYJgUv8rBe9XtLTLV98pEep1CKGMI+RQVVCG0qpS8qMujHtiWO3M06gyFCV0rt&#10;8BnDTSO/kmQqDdYcGypsaVtRcT/9GgXXWXOc7LL8kh2um/Ywz53O6h+lhoNuswARqAsf8du913H+&#10;N/z/Eg+Qqz8AAAD//wMAUEsBAi0AFAAGAAgAAAAhANvh9svuAAAAhQEAABMAAAAAAAAAAAAAAAAA&#10;AAAAAFtDb250ZW50X1R5cGVzXS54bWxQSwECLQAUAAYACAAAACEAWvQsW78AAAAVAQAACwAAAAAA&#10;AAAAAAAAAAAfAQAAX3JlbHMvLnJlbHNQSwECLQAUAAYACAAAACEAjXKxT8AAAADbAAAADwAAAAAA&#10;AAAAAAAAAAAHAgAAZHJzL2Rvd25yZXYueG1sUEsFBgAAAAADAAMAtwAAAPQCAAAAAA==&#10;" adj="10800" fillcolor="#ed202f" stroked="f" strokeweight="1pt"/>
                <v:shape id="Strzałka: pagon 18" o:spid="_x0000_s1028" type="#_x0000_t55" style="position:absolute;left:190500;top:9525;width:271145;height:28638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SU9xAAAANsAAAAPAAAAZHJzL2Rvd25yZXYueG1sRI9Ba8JA&#10;EIXvQv/DMkJvurGHYlM3QQSDUBA01vOQnSah2dmwu2r67zuHQm8zvDfvfbMpJzeoO4XYezawWmag&#10;iBtve24NXOr9Yg0qJmSLg2cy8EMRyuJptsHc+gef6H5OrZIQjjka6FIac61j05HDuPQjsWhfPjhM&#10;soZW24APCXeDfsmyV+2wZ2nocKRdR833+eYMXNfDabWv6s/qeN2Ox7c62Kr/MOZ5Pm3fQSWa0r/5&#10;7/pgBV9g5RcZQBe/AAAA//8DAFBLAQItABQABgAIAAAAIQDb4fbL7gAAAIUBAAATAAAAAAAAAAAA&#10;AAAAAAAAAABbQ29udGVudF9UeXBlc10ueG1sUEsBAi0AFAAGAAgAAAAhAFr0LFu/AAAAFQEAAAsA&#10;AAAAAAAAAAAAAAAAHwEAAF9yZWxzLy5yZWxzUEsBAi0AFAAGAAgAAAAhAPztJT3EAAAA2wAAAA8A&#10;AAAAAAAAAAAAAAAABwIAAGRycy9kb3ducmV2LnhtbFBLBQYAAAAAAwADALcAAAD4AgAAAAA=&#10;" adj="10800" fillcolor="#ed202f" stroked="f" strokeweight="1pt"/>
                <w10:wrap type="through"/>
              </v:group>
            </w:pict>
          </mc:Fallback>
        </mc:AlternateContent>
      </w:r>
    </w:p>
    <w:p w14:paraId="75C8B382" w14:textId="250D2386" w:rsidR="00183A23" w:rsidRPr="00677427" w:rsidRDefault="00183A23" w:rsidP="00183A23">
      <w:pPr>
        <w:pStyle w:val="Bezodstpw"/>
        <w:jc w:val="right"/>
        <w:rPr>
          <w:rFonts w:asciiTheme="majorHAnsi" w:eastAsia="Times New Roman" w:hAnsiTheme="majorHAnsi" w:cstheme="majorHAnsi"/>
          <w:i/>
          <w:iCs/>
          <w:lang w:eastAsia="ar-SA"/>
        </w:rPr>
      </w:pPr>
      <w:r w:rsidRPr="003F0BFD">
        <w:rPr>
          <w:rFonts w:asciiTheme="majorHAnsi" w:eastAsia="Times New Roman" w:hAnsiTheme="majorHAnsi" w:cstheme="majorHAnsi"/>
          <w:b/>
          <w:bCs/>
          <w:i/>
          <w:iCs/>
          <w:lang w:eastAsia="ar-SA"/>
        </w:rPr>
        <w:t>– mówi</w:t>
      </w:r>
      <w:r w:rsidRPr="00677427">
        <w:rPr>
          <w:rFonts w:asciiTheme="majorHAnsi" w:eastAsia="Times New Roman" w:hAnsiTheme="majorHAnsi" w:cstheme="majorHAnsi"/>
          <w:i/>
          <w:iCs/>
          <w:lang w:eastAsia="ar-SA"/>
        </w:rPr>
        <w:t xml:space="preserve"> </w:t>
      </w:r>
      <w:r w:rsidRPr="003F0BFD">
        <w:rPr>
          <w:rFonts w:asciiTheme="majorHAnsi" w:eastAsia="Times New Roman" w:hAnsiTheme="majorHAnsi" w:cstheme="majorHAnsi"/>
          <w:b/>
          <w:bCs/>
          <w:i/>
          <w:iCs/>
          <w:lang w:eastAsia="ar-SA"/>
        </w:rPr>
        <w:t xml:space="preserve">Zbigniew Juroszek, </w:t>
      </w:r>
      <w:r w:rsidR="00846737">
        <w:rPr>
          <w:rFonts w:asciiTheme="majorHAnsi" w:eastAsia="Times New Roman" w:hAnsiTheme="majorHAnsi" w:cstheme="majorHAnsi"/>
          <w:b/>
          <w:bCs/>
          <w:i/>
          <w:iCs/>
          <w:lang w:eastAsia="ar-SA"/>
        </w:rPr>
        <w:t>p</w:t>
      </w:r>
      <w:r w:rsidRPr="003F0BFD">
        <w:rPr>
          <w:rFonts w:asciiTheme="majorHAnsi" w:eastAsia="Times New Roman" w:hAnsiTheme="majorHAnsi" w:cstheme="majorHAnsi"/>
          <w:b/>
          <w:bCs/>
          <w:i/>
          <w:iCs/>
          <w:lang w:eastAsia="ar-SA"/>
        </w:rPr>
        <w:t>rezes ATAL</w:t>
      </w:r>
      <w:r>
        <w:rPr>
          <w:rFonts w:asciiTheme="majorHAnsi" w:eastAsia="Times New Roman" w:hAnsiTheme="majorHAnsi" w:cstheme="majorHAnsi"/>
          <w:b/>
          <w:bCs/>
          <w:i/>
          <w:iCs/>
          <w:lang w:eastAsia="ar-SA"/>
        </w:rPr>
        <w:t xml:space="preserve"> S.A</w:t>
      </w:r>
      <w:r w:rsidRPr="00677427">
        <w:rPr>
          <w:rFonts w:asciiTheme="majorHAnsi" w:eastAsia="Times New Roman" w:hAnsiTheme="majorHAnsi" w:cstheme="majorHAnsi"/>
          <w:i/>
          <w:iCs/>
          <w:lang w:eastAsia="ar-SA"/>
        </w:rPr>
        <w:t xml:space="preserve">.   </w:t>
      </w:r>
    </w:p>
    <w:p w14:paraId="6EF9DABA" w14:textId="77777777" w:rsidR="00F13203" w:rsidRDefault="00F13203" w:rsidP="00F13203">
      <w:pPr>
        <w:spacing w:before="240" w:after="120" w:line="240" w:lineRule="auto"/>
        <w:jc w:val="both"/>
        <w:rPr>
          <w:rFonts w:asciiTheme="majorHAnsi" w:eastAsia="Times New Roman" w:hAnsiTheme="majorHAnsi" w:cstheme="majorHAnsi"/>
          <w:color w:val="000000"/>
          <w:sz w:val="22"/>
          <w:szCs w:val="22"/>
          <w:lang w:eastAsia="ar-SA"/>
        </w:rPr>
      </w:pPr>
    </w:p>
    <w:p w14:paraId="29D367B0" w14:textId="438FE07A" w:rsidR="00F13203" w:rsidRPr="00F13203" w:rsidRDefault="00F13203" w:rsidP="00F13203">
      <w:pPr>
        <w:spacing w:before="240" w:after="120" w:line="240" w:lineRule="auto"/>
        <w:jc w:val="both"/>
        <w:rPr>
          <w:rFonts w:asciiTheme="majorHAnsi" w:eastAsia="Times New Roman" w:hAnsiTheme="majorHAnsi" w:cstheme="majorHAnsi"/>
          <w:color w:val="000000"/>
          <w:sz w:val="22"/>
          <w:szCs w:val="22"/>
          <w:lang w:eastAsia="ar-SA"/>
        </w:rPr>
      </w:pPr>
      <w:r w:rsidRPr="00F13203">
        <w:rPr>
          <w:rFonts w:asciiTheme="majorHAnsi" w:eastAsia="Times New Roman" w:hAnsiTheme="majorHAnsi" w:cstheme="majorHAnsi"/>
          <w:color w:val="000000"/>
          <w:sz w:val="22"/>
          <w:szCs w:val="22"/>
          <w:lang w:eastAsia="ar-SA"/>
        </w:rPr>
        <w:t xml:space="preserve">ATAL w pierwszych trzech kwartałach 2021 roku wygenerował skonsolidowane przychody na poziomie 1,03 mld zł. Oznacza to wzrost o 54% rdr. W tym okresie sprawozdawczym wynik netto przypisany akcjonariuszom jednostki dominującej wyniósł 189,7 mln zł, gdy przed rokiem było to 82,4 mln zł, czyli o ponad 130% więcej rdr. Marża brutto ze sprzedaży w 9M 2021 wyniosła 25,4% , a marża netto zaś 18,4%. </w:t>
      </w:r>
    </w:p>
    <w:p w14:paraId="6E8D2407" w14:textId="77292BD3" w:rsidR="00183A23" w:rsidRPr="00F13203" w:rsidRDefault="00720B55" w:rsidP="00F13203">
      <w:pPr>
        <w:spacing w:before="240" w:after="120" w:line="240" w:lineRule="auto"/>
        <w:jc w:val="both"/>
        <w:rPr>
          <w:rFonts w:asciiTheme="majorHAnsi" w:eastAsia="Times New Roman" w:hAnsiTheme="majorHAnsi" w:cstheme="majorHAnsi"/>
          <w:color w:val="000000"/>
          <w:sz w:val="22"/>
          <w:szCs w:val="22"/>
          <w:lang w:eastAsia="ar-SA"/>
        </w:rPr>
      </w:pPr>
      <w:r w:rsidRPr="00213241">
        <w:rPr>
          <w:rFonts w:asciiTheme="majorHAnsi" w:eastAsia="Times New Roman" w:hAnsiTheme="majorHAnsi" w:cstheme="majorHAnsi"/>
          <w:color w:val="000000"/>
          <w:sz w:val="22"/>
          <w:szCs w:val="22"/>
          <w:lang w:eastAsia="ar-SA"/>
        </w:rPr>
        <w:t>Grupa</w:t>
      </w:r>
      <w:r>
        <w:rPr>
          <w:rFonts w:asciiTheme="majorHAnsi" w:eastAsia="Times New Roman" w:hAnsiTheme="majorHAnsi" w:cstheme="majorHAnsi"/>
          <w:color w:val="000000"/>
          <w:sz w:val="22"/>
          <w:szCs w:val="22"/>
          <w:lang w:eastAsia="ar-SA"/>
        </w:rPr>
        <w:t xml:space="preserve"> </w:t>
      </w:r>
      <w:r w:rsidR="00F13203" w:rsidRPr="00F13203">
        <w:rPr>
          <w:rFonts w:asciiTheme="majorHAnsi" w:eastAsia="Times New Roman" w:hAnsiTheme="majorHAnsi" w:cstheme="majorHAnsi"/>
          <w:color w:val="000000"/>
          <w:sz w:val="22"/>
          <w:szCs w:val="22"/>
          <w:lang w:eastAsia="ar-SA"/>
        </w:rPr>
        <w:t xml:space="preserve">w trzecim kwartale </w:t>
      </w:r>
      <w:r w:rsidR="00F13203">
        <w:rPr>
          <w:rFonts w:asciiTheme="majorHAnsi" w:eastAsia="Times New Roman" w:hAnsiTheme="majorHAnsi" w:cstheme="majorHAnsi"/>
          <w:color w:val="000000"/>
          <w:sz w:val="22"/>
          <w:szCs w:val="22"/>
          <w:lang w:eastAsia="ar-SA"/>
        </w:rPr>
        <w:t>2021</w:t>
      </w:r>
      <w:r w:rsidR="00F13203" w:rsidRPr="00F13203">
        <w:rPr>
          <w:rFonts w:asciiTheme="majorHAnsi" w:eastAsia="Times New Roman" w:hAnsiTheme="majorHAnsi" w:cstheme="majorHAnsi"/>
          <w:color w:val="000000"/>
          <w:sz w:val="22"/>
          <w:szCs w:val="22"/>
          <w:lang w:eastAsia="ar-SA"/>
        </w:rPr>
        <w:t xml:space="preserve"> wypracowała przychody na poziomie 378,8 mln zł. Wynik netto </w:t>
      </w:r>
      <w:r w:rsidR="006D668D">
        <w:rPr>
          <w:rFonts w:asciiTheme="majorHAnsi" w:eastAsia="Times New Roman" w:hAnsiTheme="majorHAnsi" w:cstheme="majorHAnsi"/>
          <w:color w:val="000000"/>
          <w:sz w:val="22"/>
          <w:szCs w:val="22"/>
          <w:lang w:eastAsia="ar-SA"/>
        </w:rPr>
        <w:t>G</w:t>
      </w:r>
      <w:r>
        <w:rPr>
          <w:rFonts w:asciiTheme="majorHAnsi" w:eastAsia="Times New Roman" w:hAnsiTheme="majorHAnsi" w:cstheme="majorHAnsi"/>
          <w:color w:val="000000"/>
          <w:sz w:val="22"/>
          <w:szCs w:val="22"/>
          <w:lang w:eastAsia="ar-SA"/>
        </w:rPr>
        <w:t xml:space="preserve">rupy </w:t>
      </w:r>
      <w:r w:rsidR="00F13203" w:rsidRPr="00F13203">
        <w:rPr>
          <w:rFonts w:asciiTheme="majorHAnsi" w:eastAsia="Times New Roman" w:hAnsiTheme="majorHAnsi" w:cstheme="majorHAnsi"/>
          <w:color w:val="000000"/>
          <w:sz w:val="22"/>
          <w:szCs w:val="22"/>
          <w:lang w:eastAsia="ar-SA"/>
        </w:rPr>
        <w:t>wyniósł w tym czasie</w:t>
      </w:r>
      <w:r w:rsidR="00D43A87">
        <w:rPr>
          <w:rFonts w:asciiTheme="majorHAnsi" w:eastAsia="Times New Roman" w:hAnsiTheme="majorHAnsi" w:cstheme="majorHAnsi"/>
          <w:color w:val="000000"/>
          <w:sz w:val="22"/>
          <w:szCs w:val="22"/>
          <w:lang w:eastAsia="ar-SA"/>
        </w:rPr>
        <w:t xml:space="preserve"> </w:t>
      </w:r>
      <w:r w:rsidR="00F13203" w:rsidRPr="00213241">
        <w:rPr>
          <w:rFonts w:asciiTheme="majorHAnsi" w:eastAsia="Times New Roman" w:hAnsiTheme="majorHAnsi" w:cstheme="majorHAnsi"/>
          <w:color w:val="000000"/>
          <w:sz w:val="22"/>
          <w:szCs w:val="22"/>
          <w:lang w:eastAsia="ar-SA"/>
        </w:rPr>
        <w:t>73,5</w:t>
      </w:r>
      <w:r w:rsidR="00F13203" w:rsidRPr="00F13203">
        <w:rPr>
          <w:rFonts w:asciiTheme="majorHAnsi" w:eastAsia="Times New Roman" w:hAnsiTheme="majorHAnsi" w:cstheme="majorHAnsi"/>
          <w:color w:val="000000"/>
          <w:sz w:val="22"/>
          <w:szCs w:val="22"/>
          <w:lang w:eastAsia="ar-SA"/>
        </w:rPr>
        <w:t xml:space="preserve"> mln zł. Marża brutto ze sprzedaży od lipca do września tego roku wyniosła 27,1%, a marża netto zaś 19,4%.</w:t>
      </w:r>
    </w:p>
    <w:bookmarkEnd w:id="0"/>
    <w:p w14:paraId="1B72F697" w14:textId="259CA95B" w:rsidR="00DB4C86" w:rsidRPr="00213241" w:rsidRDefault="00720B55" w:rsidP="00DB4C86">
      <w:pPr>
        <w:spacing w:before="240" w:after="120" w:line="240" w:lineRule="auto"/>
        <w:jc w:val="both"/>
        <w:rPr>
          <w:rFonts w:asciiTheme="majorHAnsi" w:eastAsia="Times New Roman" w:hAnsiTheme="majorHAnsi" w:cstheme="majorHAnsi"/>
          <w:color w:val="000000"/>
          <w:sz w:val="22"/>
          <w:szCs w:val="22"/>
          <w:lang w:eastAsia="ar-SA"/>
        </w:rPr>
      </w:pPr>
      <w:r w:rsidRPr="00213241">
        <w:rPr>
          <w:rFonts w:asciiTheme="majorHAnsi" w:eastAsia="Times New Roman" w:hAnsiTheme="majorHAnsi" w:cstheme="majorHAnsi"/>
          <w:color w:val="000000"/>
          <w:sz w:val="22"/>
          <w:szCs w:val="22"/>
          <w:lang w:eastAsia="ar-SA"/>
        </w:rPr>
        <w:t>Grupa</w:t>
      </w:r>
      <w:r w:rsidR="00213241">
        <w:rPr>
          <w:rFonts w:asciiTheme="majorHAnsi" w:eastAsia="Times New Roman" w:hAnsiTheme="majorHAnsi" w:cstheme="majorHAnsi"/>
          <w:color w:val="000000"/>
          <w:sz w:val="22"/>
          <w:szCs w:val="22"/>
          <w:lang w:eastAsia="ar-SA"/>
        </w:rPr>
        <w:t xml:space="preserve"> </w:t>
      </w:r>
      <w:r w:rsidR="00242CF3" w:rsidRPr="00213241">
        <w:rPr>
          <w:rFonts w:asciiTheme="majorHAnsi" w:eastAsia="Times New Roman" w:hAnsiTheme="majorHAnsi" w:cstheme="majorHAnsi"/>
          <w:color w:val="000000"/>
          <w:sz w:val="22"/>
          <w:szCs w:val="22"/>
          <w:lang w:eastAsia="ar-SA"/>
        </w:rPr>
        <w:t>w</w:t>
      </w:r>
      <w:r w:rsidR="00DB4C86" w:rsidRPr="00F1499B">
        <w:rPr>
          <w:rFonts w:asciiTheme="majorHAnsi" w:eastAsia="Times New Roman" w:hAnsiTheme="majorHAnsi" w:cstheme="majorHAnsi"/>
          <w:color w:val="000000"/>
          <w:sz w:val="22"/>
          <w:szCs w:val="22"/>
          <w:lang w:eastAsia="ar-SA"/>
        </w:rPr>
        <w:t xml:space="preserve"> 3 kwartałach 2021 roku wydała łącznie 2390 lokali, co oznacza wzrost o 34% rdr. </w:t>
      </w:r>
    </w:p>
    <w:p w14:paraId="246AB687" w14:textId="12E5AD97" w:rsidR="00DB4C86" w:rsidRPr="00B43BA4" w:rsidRDefault="00DB4C86" w:rsidP="00DB4C86">
      <w:pPr>
        <w:spacing w:before="240" w:after="120" w:line="240" w:lineRule="auto"/>
        <w:jc w:val="both"/>
        <w:rPr>
          <w:rFonts w:asciiTheme="majorHAnsi" w:hAnsiTheme="majorHAnsi" w:cstheme="majorHAnsi"/>
          <w:sz w:val="22"/>
          <w:szCs w:val="22"/>
        </w:rPr>
      </w:pPr>
      <w:r w:rsidRPr="00B43BA4">
        <w:rPr>
          <w:rFonts w:asciiTheme="majorHAnsi" w:hAnsiTheme="majorHAnsi" w:cstheme="majorHAnsi"/>
          <w:sz w:val="22"/>
          <w:szCs w:val="22"/>
        </w:rPr>
        <w:t xml:space="preserve">W dniu 15 lipca </w:t>
      </w:r>
      <w:r w:rsidR="00F13203">
        <w:rPr>
          <w:rFonts w:asciiTheme="majorHAnsi" w:hAnsiTheme="majorHAnsi" w:cstheme="majorHAnsi"/>
          <w:sz w:val="22"/>
          <w:szCs w:val="22"/>
        </w:rPr>
        <w:t>2021 roku</w:t>
      </w:r>
      <w:r w:rsidRPr="00B43BA4">
        <w:rPr>
          <w:rFonts w:asciiTheme="majorHAnsi" w:hAnsiTheme="majorHAnsi" w:cstheme="majorHAnsi"/>
          <w:sz w:val="22"/>
          <w:szCs w:val="22"/>
        </w:rPr>
        <w:t xml:space="preserve"> spółka wypłaciła dywidendę w wysokości 80% zeszłorocznego zysku netto jednostki dominującej. Oznacza to, że do akcjonariuszy trafiło 117,3 mln złotych, czyli 3,03 zł na akcję. Pozostała część wypracowanego zysku – 28,4 mln zł – zasiliła kapitał zapasowy. Dzień dywidendy ustalono na 7 lipca, a termin wypłaty na 15 lipca br. Od początku obecności ATAL na GPW łączna kwota wypłaconej dywidendy to 524 mln zł.</w:t>
      </w:r>
    </w:p>
    <w:p w14:paraId="2CE9314F" w14:textId="305CA992" w:rsidR="00DB4C86" w:rsidRPr="004D5B73" w:rsidRDefault="00DB4C86" w:rsidP="00DB4C86">
      <w:pPr>
        <w:spacing w:before="240" w:after="120" w:line="240" w:lineRule="auto"/>
        <w:jc w:val="both"/>
        <w:rPr>
          <w:rFonts w:asciiTheme="majorHAnsi" w:hAnsiTheme="majorHAnsi" w:cstheme="majorHAnsi"/>
          <w:sz w:val="22"/>
          <w:szCs w:val="22"/>
        </w:rPr>
      </w:pPr>
      <w:r w:rsidRPr="002239A2">
        <w:rPr>
          <w:rFonts w:asciiTheme="majorHAnsi" w:hAnsiTheme="majorHAnsi" w:cstheme="majorHAnsi"/>
          <w:sz w:val="22"/>
          <w:szCs w:val="22"/>
        </w:rPr>
        <w:t>ATAL jest spółką dywidendową. W 2016 roku została wypłacona dywidenda w wysokości 0,61 zł na akcję, co łącznie dało kwotę 23,</w:t>
      </w:r>
      <w:r>
        <w:rPr>
          <w:rFonts w:asciiTheme="majorHAnsi" w:hAnsiTheme="majorHAnsi" w:cstheme="majorHAnsi"/>
          <w:sz w:val="22"/>
          <w:szCs w:val="22"/>
        </w:rPr>
        <w:t>7</w:t>
      </w:r>
      <w:r w:rsidRPr="002239A2">
        <w:rPr>
          <w:rFonts w:asciiTheme="majorHAnsi" w:hAnsiTheme="majorHAnsi" w:cstheme="majorHAnsi"/>
          <w:sz w:val="22"/>
          <w:szCs w:val="22"/>
        </w:rPr>
        <w:t xml:space="preserve"> mln zł. Dywidenda wyniosła wówczas </w:t>
      </w:r>
      <w:r>
        <w:rPr>
          <w:rFonts w:asciiTheme="majorHAnsi" w:hAnsiTheme="majorHAnsi" w:cstheme="majorHAnsi"/>
          <w:sz w:val="22"/>
          <w:szCs w:val="22"/>
        </w:rPr>
        <w:t xml:space="preserve">ok. </w:t>
      </w:r>
      <w:r w:rsidRPr="00B43BA4">
        <w:rPr>
          <w:rFonts w:asciiTheme="majorHAnsi" w:hAnsiTheme="majorHAnsi" w:cstheme="majorHAnsi"/>
          <w:sz w:val="22"/>
          <w:szCs w:val="22"/>
        </w:rPr>
        <w:t>48%</w:t>
      </w:r>
      <w:r w:rsidRPr="002239A2">
        <w:rPr>
          <w:rFonts w:asciiTheme="majorHAnsi" w:hAnsiTheme="majorHAnsi" w:cstheme="majorHAnsi"/>
          <w:sz w:val="22"/>
          <w:szCs w:val="22"/>
        </w:rPr>
        <w:t xml:space="preserve"> zysku netto </w:t>
      </w:r>
      <w:r w:rsidRPr="00C27126">
        <w:rPr>
          <w:rFonts w:asciiTheme="majorHAnsi" w:hAnsiTheme="majorHAnsi" w:cstheme="majorHAnsi"/>
          <w:sz w:val="22"/>
          <w:szCs w:val="22"/>
        </w:rPr>
        <w:t>jednostki dominującej</w:t>
      </w:r>
      <w:r w:rsidRPr="002239A2">
        <w:rPr>
          <w:rFonts w:asciiTheme="majorHAnsi" w:hAnsiTheme="majorHAnsi" w:cstheme="majorHAnsi"/>
          <w:sz w:val="22"/>
          <w:szCs w:val="22"/>
        </w:rPr>
        <w:t xml:space="preserve"> z 2015 roku. W 2017 roku ATAL wypłacił akcjonariuszom 1,68 zł na akcję, czyli ok. 65 mln zł – co stanowiło </w:t>
      </w:r>
      <w:r>
        <w:rPr>
          <w:rFonts w:asciiTheme="majorHAnsi" w:hAnsiTheme="majorHAnsi" w:cstheme="majorHAnsi"/>
          <w:sz w:val="22"/>
          <w:szCs w:val="22"/>
        </w:rPr>
        <w:t>ok. 55</w:t>
      </w:r>
      <w:r w:rsidRPr="002239A2">
        <w:rPr>
          <w:rFonts w:asciiTheme="majorHAnsi" w:hAnsiTheme="majorHAnsi" w:cstheme="majorHAnsi"/>
          <w:sz w:val="22"/>
          <w:szCs w:val="22"/>
        </w:rPr>
        <w:t>% zysku netto</w:t>
      </w:r>
      <w:r>
        <w:rPr>
          <w:rFonts w:asciiTheme="majorHAnsi" w:hAnsiTheme="majorHAnsi" w:cstheme="majorHAnsi"/>
          <w:sz w:val="22"/>
          <w:szCs w:val="22"/>
        </w:rPr>
        <w:t xml:space="preserve"> </w:t>
      </w:r>
      <w:r w:rsidRPr="00C27126">
        <w:rPr>
          <w:rFonts w:asciiTheme="majorHAnsi" w:hAnsiTheme="majorHAnsi" w:cstheme="majorHAnsi"/>
          <w:sz w:val="22"/>
          <w:szCs w:val="22"/>
        </w:rPr>
        <w:t>jednostki dominującej</w:t>
      </w:r>
      <w:r w:rsidRPr="002239A2">
        <w:rPr>
          <w:rFonts w:asciiTheme="majorHAnsi" w:hAnsiTheme="majorHAnsi" w:cstheme="majorHAnsi"/>
          <w:sz w:val="22"/>
          <w:szCs w:val="22"/>
        </w:rPr>
        <w:t xml:space="preserve"> z 2016 roku. W 2018 roku spółka wypłaciła akcjonariuszom 137 mln zł (3,54 zł na akcję), czyli </w:t>
      </w:r>
      <w:r w:rsidRPr="00B43BA4">
        <w:rPr>
          <w:rFonts w:asciiTheme="majorHAnsi" w:hAnsiTheme="majorHAnsi" w:cstheme="majorHAnsi"/>
          <w:sz w:val="22"/>
          <w:szCs w:val="22"/>
        </w:rPr>
        <w:t>prawie  84%</w:t>
      </w:r>
      <w:r>
        <w:rPr>
          <w:rFonts w:asciiTheme="majorHAnsi" w:hAnsiTheme="majorHAnsi" w:cstheme="majorHAnsi"/>
          <w:sz w:val="22"/>
          <w:szCs w:val="22"/>
        </w:rPr>
        <w:t xml:space="preserve"> </w:t>
      </w:r>
      <w:r w:rsidRPr="002239A2">
        <w:rPr>
          <w:rFonts w:asciiTheme="majorHAnsi" w:hAnsiTheme="majorHAnsi" w:cstheme="majorHAnsi"/>
          <w:sz w:val="22"/>
          <w:szCs w:val="22"/>
        </w:rPr>
        <w:t>zysku jednostki dominującej z 2017 roku.</w:t>
      </w:r>
      <w:r>
        <w:rPr>
          <w:rFonts w:asciiTheme="majorHAnsi" w:hAnsiTheme="majorHAnsi" w:cstheme="majorHAnsi"/>
          <w:sz w:val="22"/>
          <w:szCs w:val="22"/>
        </w:rPr>
        <w:t xml:space="preserve"> W 2019 roku spółka wypłaciła rekordową dywidendę w wysokości ok. 182 mln zł (4,70zł na akcję), co stanowiło 100% </w:t>
      </w:r>
      <w:r w:rsidRPr="002239A2">
        <w:rPr>
          <w:rFonts w:asciiTheme="majorHAnsi" w:hAnsiTheme="majorHAnsi" w:cstheme="majorHAnsi"/>
          <w:sz w:val="22"/>
          <w:szCs w:val="22"/>
        </w:rPr>
        <w:t>zysku jednostki dominującej z 201</w:t>
      </w:r>
      <w:r>
        <w:rPr>
          <w:rFonts w:asciiTheme="majorHAnsi" w:hAnsiTheme="majorHAnsi" w:cstheme="majorHAnsi"/>
          <w:sz w:val="22"/>
          <w:szCs w:val="22"/>
        </w:rPr>
        <w:t>8</w:t>
      </w:r>
      <w:r w:rsidRPr="002239A2">
        <w:rPr>
          <w:rFonts w:asciiTheme="majorHAnsi" w:hAnsiTheme="majorHAnsi" w:cstheme="majorHAnsi"/>
          <w:sz w:val="22"/>
          <w:szCs w:val="22"/>
        </w:rPr>
        <w:t xml:space="preserve"> roku</w:t>
      </w:r>
      <w:r>
        <w:rPr>
          <w:rFonts w:asciiTheme="majorHAnsi" w:hAnsiTheme="majorHAnsi" w:cstheme="majorHAnsi"/>
          <w:sz w:val="22"/>
          <w:szCs w:val="22"/>
        </w:rPr>
        <w:t>. W</w:t>
      </w:r>
      <w:r w:rsidR="00D43A87">
        <w:rPr>
          <w:rFonts w:asciiTheme="majorHAnsi" w:hAnsiTheme="majorHAnsi" w:cstheme="majorHAnsi"/>
          <w:sz w:val="22"/>
          <w:szCs w:val="22"/>
        </w:rPr>
        <w:t xml:space="preserve"> </w:t>
      </w:r>
      <w:r w:rsidR="00D43A87" w:rsidRPr="00213241">
        <w:rPr>
          <w:rFonts w:asciiTheme="majorHAnsi" w:hAnsiTheme="majorHAnsi" w:cstheme="majorHAnsi"/>
          <w:sz w:val="22"/>
          <w:szCs w:val="22"/>
        </w:rPr>
        <w:t xml:space="preserve">2020 </w:t>
      </w:r>
      <w:r w:rsidR="00213241">
        <w:rPr>
          <w:rFonts w:asciiTheme="majorHAnsi" w:hAnsiTheme="majorHAnsi" w:cstheme="majorHAnsi"/>
          <w:sz w:val="22"/>
          <w:szCs w:val="22"/>
        </w:rPr>
        <w:t>r</w:t>
      </w:r>
      <w:r>
        <w:rPr>
          <w:rFonts w:asciiTheme="majorHAnsi" w:hAnsiTheme="majorHAnsi" w:cstheme="majorHAnsi"/>
          <w:sz w:val="22"/>
          <w:szCs w:val="22"/>
        </w:rPr>
        <w:t>oku jednorazowo zmieniono politykę dywidendy ze względu na sytuację związaną z pandemią koronawirusa.</w:t>
      </w:r>
    </w:p>
    <w:p w14:paraId="09157C7E" w14:textId="0D479181" w:rsidR="00DB4C86" w:rsidRDefault="00DB4C86" w:rsidP="00DB4C86">
      <w:pPr>
        <w:spacing w:before="240" w:after="120" w:line="240" w:lineRule="auto"/>
        <w:jc w:val="both"/>
        <w:rPr>
          <w:rFonts w:asciiTheme="majorHAnsi" w:hAnsiTheme="majorHAnsi" w:cstheme="majorHAnsi"/>
          <w:sz w:val="22"/>
          <w:szCs w:val="22"/>
        </w:rPr>
      </w:pPr>
      <w:r>
        <w:rPr>
          <w:rFonts w:asciiTheme="majorHAnsi" w:hAnsiTheme="majorHAnsi" w:cstheme="majorHAnsi"/>
          <w:sz w:val="22"/>
          <w:szCs w:val="22"/>
        </w:rPr>
        <w:t xml:space="preserve">Od stycznia do września </w:t>
      </w:r>
      <w:r w:rsidRPr="00254108">
        <w:rPr>
          <w:rFonts w:asciiTheme="majorHAnsi" w:hAnsiTheme="majorHAnsi" w:cstheme="majorHAnsi"/>
          <w:sz w:val="22"/>
          <w:szCs w:val="22"/>
        </w:rPr>
        <w:t>202</w:t>
      </w:r>
      <w:r>
        <w:rPr>
          <w:rFonts w:asciiTheme="majorHAnsi" w:hAnsiTheme="majorHAnsi" w:cstheme="majorHAnsi"/>
          <w:sz w:val="22"/>
          <w:szCs w:val="22"/>
        </w:rPr>
        <w:t>1</w:t>
      </w:r>
      <w:r w:rsidRPr="00254108">
        <w:rPr>
          <w:rFonts w:asciiTheme="majorHAnsi" w:hAnsiTheme="majorHAnsi" w:cstheme="majorHAnsi"/>
          <w:sz w:val="22"/>
          <w:szCs w:val="22"/>
        </w:rPr>
        <w:t xml:space="preserve"> roku ATAL pozyskał </w:t>
      </w:r>
      <w:r>
        <w:rPr>
          <w:rFonts w:asciiTheme="majorHAnsi" w:hAnsiTheme="majorHAnsi" w:cstheme="majorHAnsi"/>
          <w:sz w:val="22"/>
          <w:szCs w:val="22"/>
        </w:rPr>
        <w:t>7</w:t>
      </w:r>
      <w:r w:rsidRPr="00A25007">
        <w:rPr>
          <w:rFonts w:asciiTheme="majorHAnsi" w:hAnsiTheme="majorHAnsi" w:cstheme="majorHAnsi"/>
          <w:sz w:val="22"/>
          <w:szCs w:val="22"/>
        </w:rPr>
        <w:t xml:space="preserve"> now</w:t>
      </w:r>
      <w:r>
        <w:rPr>
          <w:rFonts w:asciiTheme="majorHAnsi" w:hAnsiTheme="majorHAnsi" w:cstheme="majorHAnsi"/>
          <w:sz w:val="22"/>
          <w:szCs w:val="22"/>
        </w:rPr>
        <w:t>ych</w:t>
      </w:r>
      <w:r w:rsidRPr="00A25007">
        <w:rPr>
          <w:rFonts w:asciiTheme="majorHAnsi" w:hAnsiTheme="majorHAnsi" w:cstheme="majorHAnsi"/>
          <w:sz w:val="22"/>
          <w:szCs w:val="22"/>
        </w:rPr>
        <w:t xml:space="preserve"> grunt</w:t>
      </w:r>
      <w:r>
        <w:rPr>
          <w:rFonts w:asciiTheme="majorHAnsi" w:hAnsiTheme="majorHAnsi" w:cstheme="majorHAnsi"/>
          <w:sz w:val="22"/>
          <w:szCs w:val="22"/>
        </w:rPr>
        <w:t>ów</w:t>
      </w:r>
      <w:r w:rsidRPr="00A25007">
        <w:rPr>
          <w:rFonts w:asciiTheme="majorHAnsi" w:hAnsiTheme="majorHAnsi" w:cstheme="majorHAnsi"/>
          <w:sz w:val="22"/>
          <w:szCs w:val="22"/>
        </w:rPr>
        <w:t xml:space="preserve"> inwestycyjne w Katowicach</w:t>
      </w:r>
      <w:r>
        <w:rPr>
          <w:rFonts w:asciiTheme="majorHAnsi" w:hAnsiTheme="majorHAnsi" w:cstheme="majorHAnsi"/>
          <w:sz w:val="22"/>
          <w:szCs w:val="22"/>
        </w:rPr>
        <w:t xml:space="preserve">, </w:t>
      </w:r>
      <w:r w:rsidRPr="00A25007">
        <w:rPr>
          <w:rFonts w:asciiTheme="majorHAnsi" w:hAnsiTheme="majorHAnsi" w:cstheme="majorHAnsi"/>
          <w:sz w:val="22"/>
          <w:szCs w:val="22"/>
        </w:rPr>
        <w:t>Poznaniu</w:t>
      </w:r>
      <w:r>
        <w:rPr>
          <w:rFonts w:asciiTheme="majorHAnsi" w:hAnsiTheme="majorHAnsi" w:cstheme="majorHAnsi"/>
          <w:sz w:val="22"/>
          <w:szCs w:val="22"/>
        </w:rPr>
        <w:t>, Krakowie oraz Warszawie</w:t>
      </w:r>
      <w:r w:rsidRPr="00A25007">
        <w:rPr>
          <w:rFonts w:asciiTheme="majorHAnsi" w:hAnsiTheme="majorHAnsi" w:cstheme="majorHAnsi"/>
          <w:sz w:val="22"/>
          <w:szCs w:val="22"/>
        </w:rPr>
        <w:t xml:space="preserve">. </w:t>
      </w:r>
      <w:r w:rsidRPr="00786CF6">
        <w:rPr>
          <w:rFonts w:asciiTheme="majorHAnsi" w:hAnsiTheme="majorHAnsi" w:cstheme="majorHAnsi"/>
          <w:sz w:val="22"/>
          <w:szCs w:val="22"/>
        </w:rPr>
        <w:t xml:space="preserve">Łączny koszt zakup nowych działek to ok. </w:t>
      </w:r>
      <w:r>
        <w:rPr>
          <w:rFonts w:asciiTheme="majorHAnsi" w:hAnsiTheme="majorHAnsi" w:cstheme="majorHAnsi"/>
          <w:sz w:val="22"/>
          <w:szCs w:val="22"/>
        </w:rPr>
        <w:t>139</w:t>
      </w:r>
      <w:r w:rsidRPr="00786CF6">
        <w:rPr>
          <w:rFonts w:asciiTheme="majorHAnsi" w:hAnsiTheme="majorHAnsi" w:cstheme="majorHAnsi"/>
          <w:sz w:val="22"/>
          <w:szCs w:val="22"/>
        </w:rPr>
        <w:t xml:space="preserve"> mln zł, w przeliczeniu na 1 mkw. PUM to </w:t>
      </w:r>
      <w:r>
        <w:rPr>
          <w:rFonts w:asciiTheme="majorHAnsi" w:hAnsiTheme="majorHAnsi" w:cstheme="majorHAnsi"/>
          <w:sz w:val="22"/>
          <w:szCs w:val="22"/>
        </w:rPr>
        <w:t>7</w:t>
      </w:r>
      <w:r w:rsidR="00F13203">
        <w:rPr>
          <w:rFonts w:asciiTheme="majorHAnsi" w:hAnsiTheme="majorHAnsi" w:cstheme="majorHAnsi"/>
          <w:sz w:val="22"/>
          <w:szCs w:val="22"/>
        </w:rPr>
        <w:t>9</w:t>
      </w:r>
      <w:r>
        <w:rPr>
          <w:rFonts w:asciiTheme="majorHAnsi" w:hAnsiTheme="majorHAnsi" w:cstheme="majorHAnsi"/>
          <w:sz w:val="22"/>
          <w:szCs w:val="22"/>
        </w:rPr>
        <w:t>4</w:t>
      </w:r>
      <w:r w:rsidRPr="00A25007">
        <w:rPr>
          <w:rFonts w:asciiTheme="majorHAnsi" w:hAnsiTheme="majorHAnsi" w:cstheme="majorHAnsi"/>
          <w:sz w:val="22"/>
          <w:szCs w:val="22"/>
        </w:rPr>
        <w:t xml:space="preserve"> złotych, co </w:t>
      </w:r>
      <w:r>
        <w:rPr>
          <w:rFonts w:asciiTheme="majorHAnsi" w:hAnsiTheme="majorHAnsi" w:cstheme="majorHAnsi"/>
          <w:sz w:val="22"/>
          <w:szCs w:val="22"/>
        </w:rPr>
        <w:t xml:space="preserve">jest </w:t>
      </w:r>
      <w:r w:rsidRPr="00A25007">
        <w:rPr>
          <w:rFonts w:asciiTheme="majorHAnsi" w:hAnsiTheme="majorHAnsi" w:cstheme="majorHAnsi"/>
          <w:sz w:val="22"/>
          <w:szCs w:val="22"/>
        </w:rPr>
        <w:t>potwierdz</w:t>
      </w:r>
      <w:r>
        <w:rPr>
          <w:rFonts w:asciiTheme="majorHAnsi" w:hAnsiTheme="majorHAnsi" w:cstheme="majorHAnsi"/>
          <w:sz w:val="22"/>
          <w:szCs w:val="22"/>
        </w:rPr>
        <w:t>eniem</w:t>
      </w:r>
      <w:r w:rsidRPr="00A25007">
        <w:rPr>
          <w:rFonts w:asciiTheme="majorHAnsi" w:hAnsiTheme="majorHAnsi" w:cstheme="majorHAnsi"/>
          <w:sz w:val="22"/>
          <w:szCs w:val="22"/>
        </w:rPr>
        <w:t xml:space="preserve"> realizacj</w:t>
      </w:r>
      <w:r>
        <w:rPr>
          <w:rFonts w:asciiTheme="majorHAnsi" w:hAnsiTheme="majorHAnsi" w:cstheme="majorHAnsi"/>
          <w:sz w:val="22"/>
          <w:szCs w:val="22"/>
        </w:rPr>
        <w:t>i</w:t>
      </w:r>
      <w:r w:rsidRPr="00A25007">
        <w:rPr>
          <w:rFonts w:asciiTheme="majorHAnsi" w:hAnsiTheme="majorHAnsi" w:cstheme="majorHAnsi"/>
          <w:sz w:val="22"/>
          <w:szCs w:val="22"/>
        </w:rPr>
        <w:t xml:space="preserve"> racjonalnej polityki zakupu działek pod inwestycje. </w:t>
      </w:r>
      <w:r>
        <w:rPr>
          <w:rFonts w:asciiTheme="majorHAnsi" w:hAnsiTheme="majorHAnsi" w:cstheme="majorHAnsi"/>
          <w:sz w:val="22"/>
          <w:szCs w:val="22"/>
        </w:rPr>
        <w:t>Zakupione t</w:t>
      </w:r>
      <w:r w:rsidRPr="00A25007">
        <w:rPr>
          <w:rFonts w:asciiTheme="majorHAnsi" w:hAnsiTheme="majorHAnsi" w:cstheme="majorHAnsi"/>
          <w:sz w:val="22"/>
          <w:szCs w:val="22"/>
        </w:rPr>
        <w:t xml:space="preserve">ereny pozwolą na realizację </w:t>
      </w:r>
      <w:r>
        <w:rPr>
          <w:rFonts w:asciiTheme="majorHAnsi" w:hAnsiTheme="majorHAnsi" w:cstheme="majorHAnsi"/>
          <w:sz w:val="22"/>
          <w:szCs w:val="22"/>
        </w:rPr>
        <w:t>1</w:t>
      </w:r>
      <w:r w:rsidR="00F13203">
        <w:rPr>
          <w:rFonts w:asciiTheme="majorHAnsi" w:hAnsiTheme="majorHAnsi" w:cstheme="majorHAnsi"/>
          <w:sz w:val="22"/>
          <w:szCs w:val="22"/>
        </w:rPr>
        <w:t>74</w:t>
      </w:r>
      <w:r w:rsidRPr="00A25007">
        <w:rPr>
          <w:rFonts w:asciiTheme="majorHAnsi" w:hAnsiTheme="majorHAnsi" w:cstheme="majorHAnsi"/>
          <w:sz w:val="22"/>
          <w:szCs w:val="22"/>
        </w:rPr>
        <w:t xml:space="preserve"> tys. mkw. PUM.</w:t>
      </w:r>
      <w:r>
        <w:rPr>
          <w:rFonts w:asciiTheme="majorHAnsi" w:hAnsiTheme="majorHAnsi" w:cstheme="majorHAnsi"/>
          <w:sz w:val="22"/>
          <w:szCs w:val="22"/>
        </w:rPr>
        <w:t xml:space="preserve"> </w:t>
      </w:r>
      <w:r w:rsidRPr="00254108">
        <w:rPr>
          <w:rFonts w:asciiTheme="majorHAnsi" w:hAnsiTheme="majorHAnsi" w:cstheme="majorHAnsi"/>
          <w:sz w:val="22"/>
          <w:szCs w:val="22"/>
        </w:rPr>
        <w:t>Obecny bank ziemi w posiadaniu spółki w pełni zabezpiecza plany inwestycyjne na najbliższe</w:t>
      </w:r>
      <w:r w:rsidR="00A856C4">
        <w:rPr>
          <w:rFonts w:asciiTheme="majorHAnsi" w:hAnsiTheme="majorHAnsi" w:cstheme="majorHAnsi"/>
          <w:sz w:val="22"/>
          <w:szCs w:val="22"/>
        </w:rPr>
        <w:t xml:space="preserve"> 3-4</w:t>
      </w:r>
      <w:r w:rsidRPr="00254108">
        <w:rPr>
          <w:rFonts w:asciiTheme="majorHAnsi" w:hAnsiTheme="majorHAnsi" w:cstheme="majorHAnsi"/>
          <w:sz w:val="22"/>
          <w:szCs w:val="22"/>
        </w:rPr>
        <w:t xml:space="preserve"> lata.</w:t>
      </w:r>
    </w:p>
    <w:p w14:paraId="1855AA9E" w14:textId="77777777" w:rsidR="00DB4C86" w:rsidRPr="00991150" w:rsidRDefault="00DB4C86" w:rsidP="00DB4C86">
      <w:pPr>
        <w:spacing w:line="240" w:lineRule="auto"/>
        <w:rPr>
          <w:rFonts w:asciiTheme="majorHAnsi" w:hAnsiTheme="majorHAnsi" w:cstheme="majorHAnsi"/>
        </w:rPr>
      </w:pPr>
      <w:r w:rsidRPr="00991150">
        <w:rPr>
          <w:rFonts w:asciiTheme="majorHAnsi" w:hAnsiTheme="majorHAnsi" w:cstheme="majorHAnsi"/>
          <w:b/>
          <w:noProof/>
          <w:color w:val="000000"/>
          <w:lang w:eastAsia="pl-PL"/>
        </w:rPr>
        <mc:AlternateContent>
          <mc:Choice Requires="wpg">
            <w:drawing>
              <wp:anchor distT="0" distB="0" distL="114300" distR="114300" simplePos="0" relativeHeight="251668480" behindDoc="0" locked="0" layoutInCell="1" allowOverlap="1" wp14:anchorId="4C6376FD" wp14:editId="1ED8AC3E">
                <wp:simplePos x="0" y="0"/>
                <wp:positionH relativeFrom="margin">
                  <wp:posOffset>2680335</wp:posOffset>
                </wp:positionH>
                <wp:positionV relativeFrom="paragraph">
                  <wp:posOffset>36830</wp:posOffset>
                </wp:positionV>
                <wp:extent cx="390039" cy="91466"/>
                <wp:effectExtent l="19050" t="19050" r="29210" b="22860"/>
                <wp:wrapNone/>
                <wp:docPr id="8" name="Grupa 8"/>
                <wp:cNvGraphicFramePr/>
                <a:graphic xmlns:a="http://schemas.openxmlformats.org/drawingml/2006/main">
                  <a:graphicData uri="http://schemas.microsoft.com/office/word/2010/wordprocessingGroup">
                    <wpg:wgp>
                      <wpg:cNvGrpSpPr/>
                      <wpg:grpSpPr>
                        <a:xfrm>
                          <a:off x="0" y="0"/>
                          <a:ext cx="390039" cy="91466"/>
                          <a:chOff x="0" y="0"/>
                          <a:chExt cx="615196" cy="144549"/>
                        </a:xfrm>
                      </wpg:grpSpPr>
                      <wps:wsp>
                        <wps:cNvPr id="3" name="Prostokąt 3"/>
                        <wps:cNvSpPr/>
                        <wps:spPr>
                          <a:xfrm rot="2700000">
                            <a:off x="241936" y="10757"/>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ostokąt 5"/>
                        <wps:cNvSpPr/>
                        <wps:spPr>
                          <a:xfrm rot="2700000">
                            <a:off x="0" y="0"/>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7"/>
                        <wps:cNvSpPr/>
                        <wps:spPr>
                          <a:xfrm rot="2700000">
                            <a:off x="492162" y="21515"/>
                            <a:ext cx="123034" cy="12303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8EF61" id="Grupa 8" o:spid="_x0000_s1026" style="position:absolute;margin-left:211.05pt;margin-top:2.9pt;width:30.7pt;height:7.2pt;z-index:251668480;mso-position-horizontal-relative:margin;mso-width-relative:margin;mso-height-relative:margin" coordsize="6151,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jxWQMAALQOAAAOAAAAZHJzL2Uyb0RvYy54bWzsV1tv0zAUfkfiP1h+Z7k0bWm0DE2DTkgT&#10;TAzEs+c4TURiG9tdOt75Z/wwjo+TrGxDQkNIPHQPmS/n+vmcr/bxq13XkhthbKNkQZOjmBIhuSob&#10;uSnop4/rFy8psY7JkrVKioLeCktfnTx/dtzrXKSqVm0pDAEj0ua9LmjtnM6jyPJadMweKS0kbFbK&#10;dMzB1Gyi0rAerHdtlMbxIuqVKbVRXFgLq6/DJj1B+1UluHtfVVY40hYUYnP4Nfi99t/o5JjlG8N0&#10;3fAhDPaEKDrWSHA6mXrNHCNb0zww1TXcKKsqd8RVF6mqarjAHCCbJL6XzblRW425bPJ+oyeYANp7&#10;OD3ZLH93c270lb40gESvN4AFznwuu8p0/j9ESXYI2e0Emdg5wmFxtorj2YoSDlurJFssAqK8Btgf&#10;KPH6zaC2SObJahHUkiybZyuvF40+o18i6TXUhr1L3/5d+lc10wJRtTmkf2lIU0IilEjWQYVewvk4&#10;9eXHd0dmPijvHcQmiGxuAa0RH2IU1FS6jP0fVsCAVpolqxlkCLgk8XK+DLiMsCXpLJ5lQ/5hvJ8/&#10;y7Wx7lyojvhBQQ0UMlpnNxfWBdFRxIdiVduU66ZtcWI212etITcMin69xsiCyi9irfTCUnm1sO1X&#10;APoxQxy521Z4uVZ+EBUgBWeeYiTYomLywzgX0iVhq2alCO7n+959U3sNPGk06C1X4H+yPRgYJYOR&#10;0XaIcpD3qgI7fFIOB/CbwILypIGelXSTctdIZR7LrIWsBs9BfgQpQONRulblLdQR1gKwjNV83cC5&#10;XTDrLpkBQoFFIEn3Hj5Vq/qCqmFESa3Mt8fWvTwUOuxS0gNBFdR+3TIjKGnfSmgB6LbMMxpOsvky&#10;hYnZ37ne35Hb7kxBOSQYHQ69vGvHYWVU9xm49NR7hS0mOfguKHdmnJy5QJzAxlycnqIYsJhm7kJe&#10;ae6Ne1R9XX7cfWZGD8XroOrfqbHtWH6vhoOs15TqdOtU1WCB3+E64A0UELrxn3PB/BEumP8FFwCc&#10;D5nzQAGBU7ARDxRwoADo7v+HApaPUAD+hntaesJ1IFulySJFHkjh7oNsAr9fw3XowAUHLsCLweE6&#10;MFwd/pAL8KEATyO8UQ7POP/22p/j9eHusXnyEwAA//8DAFBLAwQUAAYACAAAACEA1ayQbt8AAAAI&#10;AQAADwAAAGRycy9kb3ducmV2LnhtbEyPQWvCQBSE74X+h+UJvdVNoikS8yIibU9SqBZKb2v2mQSz&#10;b0N2TeK/7/ZUj8MMM9/km8m0YqDeNZYR4nkEgri0uuEK4ev49rwC4bxirVrLhHAjB5vi8SFXmbYj&#10;f9Jw8JUIJewyhVB732VSurImo9zcdsTBO9veKB9kX0ndqzGUm1YmUfQijWo4LNSqo11N5eVwNQjv&#10;oxq3i/h12F/Ou9vPMf343seE+DSbtmsQnib/H4Y//IAORWA62StrJ1qEZZLEIYqQhgfBX64WKYgT&#10;QhIlIItc3h8ofgEAAP//AwBQSwECLQAUAAYACAAAACEAtoM4kv4AAADhAQAAEwAAAAAAAAAAAAAA&#10;AAAAAAAAW0NvbnRlbnRfVHlwZXNdLnhtbFBLAQItABQABgAIAAAAIQA4/SH/1gAAAJQBAAALAAAA&#10;AAAAAAAAAAAAAC8BAABfcmVscy8ucmVsc1BLAQItABQABgAIAAAAIQCCGdjxWQMAALQOAAAOAAAA&#10;AAAAAAAAAAAAAC4CAABkcnMvZTJvRG9jLnhtbFBLAQItABQABgAIAAAAIQDVrJBu3wAAAAgBAAAP&#10;AAAAAAAAAAAAAAAAALMFAABkcnMvZG93bnJldi54bWxQSwUGAAAAAAQABADzAAAAvwYAAAAA&#10;">
                <v:rect id="Prostokąt 3" o:spid="_x0000_s1027" style="position:absolute;left:2419;top:107;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QywgAAANoAAAAPAAAAZHJzL2Rvd25yZXYueG1sRI/disIw&#10;FITvF3yHcATvNFXxh2oU0XURLwR/HuDQHNNic1KarNZ9eiMIeznMzDfMfNnYUtyp9oVjBf1eAoI4&#10;c7pgo+By3nanIHxA1lg6JgVP8rBctL7mmGr34CPdT8GICGGfooI8hCqV0mc5WfQ9VxFH7+pqiyHK&#10;2khd4yPCbSkHSTKWFguOCzlWtM4pu51+rYIwHv7J/eFnc5xU28to9G1oII1SnXazmoEI1IT/8Ke9&#10;0wqG8L4Sb4BcvAAAAP//AwBQSwECLQAUAAYACAAAACEA2+H2y+4AAACFAQAAEwAAAAAAAAAAAAAA&#10;AAAAAAAAW0NvbnRlbnRfVHlwZXNdLnhtbFBLAQItABQABgAIAAAAIQBa9CxbvwAAABUBAAALAAAA&#10;AAAAAAAAAAAAAB8BAABfcmVscy8ucmVsc1BLAQItABQABgAIAAAAIQBoUuQywgAAANoAAAAPAAAA&#10;AAAAAAAAAAAAAAcCAABkcnMvZG93bnJldi54bWxQSwUGAAAAAAMAAwC3AAAA9gIAAAAA&#10;" fillcolor="red" stroked="f" strokeweight="1pt"/>
                <v:rect id="Prostokąt 5" o:spid="_x0000_s1028" style="position:absolute;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9ndwgAAANoAAAAPAAAAZHJzL2Rvd25yZXYueG1sRI/disIw&#10;FITvBd8hHGHvNFWpK9Uo4s8iXiz48wCH5pgWm5PSRO3u05uFBS+HmfmGmS9bW4kHNb50rGA4SEAQ&#10;506XbBRczrv+FIQPyBorx6TghzwsF93OHDPtnnykxykYESHsM1RQhFBnUvq8IIt+4Gri6F1dYzFE&#10;2RipG3xGuK3kKEkm0mLJcaHAmtYF5bfT3SoIk/GvPHx/bY6f9e6SpltDI2mU+ui1qxmIQG14h//b&#10;e60ghb8r8QbIxQsAAP//AwBQSwECLQAUAAYACAAAACEA2+H2y+4AAACFAQAAEwAAAAAAAAAAAAAA&#10;AAAAAAAAW0NvbnRlbnRfVHlwZXNdLnhtbFBLAQItABQABgAIAAAAIQBa9CxbvwAAABUBAAALAAAA&#10;AAAAAAAAAAAAAB8BAABfcmVscy8ucmVsc1BLAQItABQABgAIAAAAIQCI99ndwgAAANoAAAAPAAAA&#10;AAAAAAAAAAAAAAcCAABkcnMvZG93bnJldi54bWxQSwUGAAAAAAMAAwC3AAAA9gIAAAAA&#10;" fillcolor="red" stroked="f" strokeweight="1pt"/>
                <v:rect id="Prostokąt 7" o:spid="_x0000_s1029" style="position:absolute;left:4921;top:215;width:1230;height:123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IxxAAAANoAAAAPAAAAZHJzL2Rvd25yZXYueG1sRI/RasJA&#10;FETfC/7Dcgt9q5taEkvqKqKNFB+EqB9wyd5uQrN3Q3Yb0369WxB8HGbmDLNYjbYVA/W+cazgZZqA&#10;IK6cbtgoOJ+K5zcQPiBrbB2Tgl/ysFpOHhaYa3fhkoZjMCJC2OeooA6hy6X0VU0W/dR1xNH7cr3F&#10;EGVvpO7xEuG2lbMkyaTFhuNCjR1taqq+jz9WQche/+T+sNuW8644p+mHoZk0Sj09jut3EIHGcA/f&#10;2p9awRz+r8QbIJdXAAAA//8DAFBLAQItABQABgAIAAAAIQDb4fbL7gAAAIUBAAATAAAAAAAAAAAA&#10;AAAAAAAAAABbQ29udGVudF9UeXBlc10ueG1sUEsBAi0AFAAGAAgAAAAhAFr0LFu/AAAAFQEAAAsA&#10;AAAAAAAAAAAAAAAAHwEAAF9yZWxzLy5yZWxzUEsBAi0AFAAGAAgAAAAhABdp4jHEAAAA2gAAAA8A&#10;AAAAAAAAAAAAAAAABwIAAGRycy9kb3ducmV2LnhtbFBLBQYAAAAAAwADALcAAAD4AgAAAAA=&#10;" fillcolor="red" stroked="f" strokeweight="1pt"/>
                <w10:wrap anchorx="margin"/>
              </v:group>
            </w:pict>
          </mc:Fallback>
        </mc:AlternateContent>
      </w:r>
    </w:p>
    <w:p w14:paraId="297F35C2" w14:textId="77777777" w:rsidR="00DB4C86" w:rsidRPr="004009C7" w:rsidRDefault="00DB4C86" w:rsidP="00DB4C86">
      <w:pPr>
        <w:suppressAutoHyphens/>
        <w:spacing w:before="100" w:beforeAutospacing="1" w:after="120" w:line="240" w:lineRule="auto"/>
        <w:jc w:val="both"/>
        <w:rPr>
          <w:rFonts w:asciiTheme="majorHAnsi" w:hAnsiTheme="majorHAnsi" w:cstheme="majorHAnsi"/>
          <w:sz w:val="20"/>
          <w:szCs w:val="20"/>
          <w:lang w:eastAsia="ar-SA"/>
        </w:rPr>
      </w:pPr>
      <w:r w:rsidRPr="004009C7">
        <w:rPr>
          <w:rFonts w:asciiTheme="majorHAnsi" w:hAnsiTheme="majorHAnsi" w:cstheme="majorHAnsi"/>
          <w:sz w:val="20"/>
          <w:szCs w:val="20"/>
          <w:lang w:eastAsia="ar-SA"/>
        </w:rPr>
        <w:t>ATAL S.A. (</w:t>
      </w:r>
      <w:hyperlink r:id="rId5" w:history="1">
        <w:r w:rsidRPr="004009C7">
          <w:rPr>
            <w:rFonts w:asciiTheme="majorHAnsi" w:hAnsiTheme="majorHAnsi" w:cstheme="majorHAnsi"/>
            <w:color w:val="000080"/>
            <w:sz w:val="20"/>
            <w:szCs w:val="20"/>
            <w:u w:val="single"/>
            <w:lang w:eastAsia="ar-SA"/>
          </w:rPr>
          <w:t>www.atal.pl</w:t>
        </w:r>
      </w:hyperlink>
      <w:r w:rsidRPr="004009C7">
        <w:rPr>
          <w:rFonts w:asciiTheme="majorHAnsi" w:hAnsiTheme="majorHAnsi" w:cstheme="majorHAnsi"/>
          <w:sz w:val="20"/>
          <w:szCs w:val="20"/>
          <w:lang w:eastAsia="ar-SA"/>
        </w:rPr>
        <w:t xml:space="preserve">) to czołowy polski deweloper z bogatym, 30-letnim doświadczeniem na rynku nieruchomości. Spółka realizuje inwestycje w trzech sektorach – mieszkaniowym, komercyjnym oraz w segmencie apartamentów inwestycyjnych. Założycielem i właścicielem ATAL jest Zbigniew Juroszek. W aktualnej ofercie znajdują się inwestycje deweloperskie realizowane w aglomeracji śląskiej, Krakowie, Łodzi, Wrocławiu, Warszawie, Trójmieście i Poznaniu. Wynikami sprzedaży ATAL zapewnia sobie czołową pozycję wśród największych przedsiębiorstw w branży. ATAL jest członkiem Polskiego Związku Firm Deweloperskich. W 2013 roku obligacje spółki zadebiutowały na rynku Catalyst, a od 2015 roku akcje ATAL notowane są na Giełdzie Papierów Wartościowych w Warszawie. </w:t>
      </w:r>
    </w:p>
    <w:p w14:paraId="103E1C76" w14:textId="5D23A41D" w:rsidR="00DB4C86" w:rsidRDefault="00DB4C86" w:rsidP="00DB4C86">
      <w:pPr>
        <w:suppressAutoHyphens/>
        <w:spacing w:before="100" w:beforeAutospacing="1" w:after="120" w:line="240" w:lineRule="auto"/>
        <w:rPr>
          <w:rFonts w:asciiTheme="majorHAnsi" w:hAnsiTheme="majorHAnsi" w:cstheme="majorHAnsi"/>
          <w:sz w:val="22"/>
          <w:szCs w:val="22"/>
          <w:lang w:eastAsia="ar-SA"/>
        </w:rPr>
      </w:pPr>
    </w:p>
    <w:p w14:paraId="39D68B32" w14:textId="77777777" w:rsidR="00DB4C86" w:rsidRPr="00B43BA4" w:rsidRDefault="00DB4C86" w:rsidP="00DB4C86">
      <w:pPr>
        <w:suppressAutoHyphens/>
        <w:spacing w:before="120" w:after="120" w:line="240" w:lineRule="auto"/>
        <w:rPr>
          <w:rFonts w:asciiTheme="majorHAnsi" w:hAnsiTheme="majorHAnsi" w:cstheme="majorHAnsi"/>
          <w:sz w:val="20"/>
          <w:szCs w:val="20"/>
          <w:u w:val="single"/>
          <w:shd w:val="clear" w:color="auto" w:fill="FFFFFF"/>
          <w:lang w:val="en-US" w:eastAsia="ar-SA"/>
        </w:rPr>
      </w:pPr>
      <w:r w:rsidRPr="00B43BA4">
        <w:rPr>
          <w:rFonts w:asciiTheme="majorHAnsi" w:hAnsiTheme="majorHAnsi" w:cstheme="majorHAnsi"/>
          <w:sz w:val="20"/>
          <w:szCs w:val="20"/>
          <w:u w:val="single"/>
          <w:shd w:val="clear" w:color="auto" w:fill="FFFFFF"/>
          <w:lang w:val="en-US" w:eastAsia="ar-SA"/>
        </w:rPr>
        <w:t>Dodatkowych informacji udziela:</w:t>
      </w:r>
    </w:p>
    <w:p w14:paraId="76A6DD12" w14:textId="77777777" w:rsidR="00DB4C86" w:rsidRPr="00C408B3" w:rsidRDefault="00DB4C86" w:rsidP="00DB4C86">
      <w:pPr>
        <w:suppressAutoHyphens/>
        <w:spacing w:line="240" w:lineRule="auto"/>
        <w:rPr>
          <w:rFonts w:asciiTheme="majorHAnsi" w:hAnsiTheme="majorHAnsi" w:cstheme="majorHAnsi"/>
          <w:b/>
          <w:sz w:val="20"/>
          <w:szCs w:val="20"/>
          <w:shd w:val="clear" w:color="auto" w:fill="FFFFFF"/>
          <w:lang w:val="en-US" w:eastAsia="ar-SA"/>
        </w:rPr>
      </w:pPr>
      <w:r w:rsidRPr="00C408B3">
        <w:rPr>
          <w:rFonts w:asciiTheme="majorHAnsi" w:hAnsiTheme="majorHAnsi" w:cstheme="majorHAnsi"/>
          <w:b/>
          <w:sz w:val="20"/>
          <w:szCs w:val="20"/>
          <w:shd w:val="clear" w:color="auto" w:fill="FFFFFF"/>
          <w:lang w:val="en-US" w:eastAsia="ar-SA"/>
        </w:rPr>
        <w:t>Łukasz Borkowski</w:t>
      </w:r>
    </w:p>
    <w:p w14:paraId="7A7BE88E" w14:textId="77777777" w:rsidR="00DB4C86" w:rsidRPr="00C408B3" w:rsidRDefault="00DB4C86" w:rsidP="00DB4C86">
      <w:pPr>
        <w:suppressAutoHyphens/>
        <w:spacing w:line="240" w:lineRule="auto"/>
        <w:rPr>
          <w:rFonts w:asciiTheme="majorHAnsi" w:hAnsiTheme="majorHAnsi" w:cstheme="majorHAnsi"/>
          <w:bCs/>
          <w:sz w:val="20"/>
          <w:szCs w:val="20"/>
          <w:shd w:val="clear" w:color="auto" w:fill="FFFFFF"/>
          <w:lang w:val="en-US" w:eastAsia="ar-SA"/>
        </w:rPr>
      </w:pPr>
      <w:r w:rsidRPr="00C408B3">
        <w:rPr>
          <w:rFonts w:asciiTheme="majorHAnsi" w:hAnsiTheme="majorHAnsi" w:cstheme="majorHAnsi"/>
          <w:bCs/>
          <w:sz w:val="20"/>
          <w:szCs w:val="20"/>
          <w:shd w:val="clear" w:color="auto" w:fill="FFFFFF"/>
          <w:lang w:val="en-US" w:eastAsia="ar-SA"/>
        </w:rPr>
        <w:t>Head of Corporate Communications &amp; Investor Relations</w:t>
      </w:r>
    </w:p>
    <w:p w14:paraId="70E99243" w14:textId="2C1E3C3D" w:rsidR="0080615A" w:rsidRDefault="00DB4C86" w:rsidP="007E0AF1">
      <w:pPr>
        <w:suppressAutoHyphens/>
        <w:spacing w:line="240" w:lineRule="auto"/>
      </w:pPr>
      <w:r w:rsidRPr="004009C7">
        <w:rPr>
          <w:rFonts w:asciiTheme="majorHAnsi" w:hAnsiTheme="majorHAnsi" w:cstheme="majorHAnsi"/>
          <w:bCs/>
          <w:sz w:val="20"/>
          <w:szCs w:val="20"/>
          <w:shd w:val="clear" w:color="auto" w:fill="FFFFFF"/>
          <w:lang w:eastAsia="ar-SA"/>
        </w:rPr>
        <w:t>e-mail:</w:t>
      </w:r>
      <w:r w:rsidRPr="004009C7">
        <w:rPr>
          <w:rFonts w:asciiTheme="majorHAnsi" w:hAnsiTheme="majorHAnsi" w:cstheme="majorHAnsi"/>
          <w:sz w:val="20"/>
          <w:szCs w:val="20"/>
          <w:u w:val="single"/>
          <w:shd w:val="clear" w:color="auto" w:fill="FFFFFF"/>
          <w:lang w:eastAsia="ar-SA"/>
        </w:rPr>
        <w:t xml:space="preserve"> </w:t>
      </w:r>
      <w:hyperlink r:id="rId6" w:history="1">
        <w:r w:rsidRPr="004009C7">
          <w:rPr>
            <w:rFonts w:asciiTheme="majorHAnsi" w:hAnsiTheme="majorHAnsi" w:cstheme="majorHAnsi"/>
            <w:color w:val="000080"/>
            <w:sz w:val="20"/>
            <w:szCs w:val="20"/>
            <w:u w:val="single"/>
            <w:shd w:val="clear" w:color="auto" w:fill="FFFFFF"/>
            <w:lang w:eastAsia="ar-SA"/>
          </w:rPr>
          <w:t>pr@atal.pl</w:t>
        </w:r>
      </w:hyperlink>
      <w:r w:rsidRPr="004009C7">
        <w:rPr>
          <w:rFonts w:asciiTheme="majorHAnsi" w:hAnsiTheme="majorHAnsi" w:cstheme="majorHAnsi"/>
          <w:color w:val="000080"/>
          <w:sz w:val="20"/>
          <w:szCs w:val="20"/>
          <w:u w:val="single"/>
          <w:shd w:val="clear" w:color="auto" w:fill="FFFFFF"/>
          <w:lang w:eastAsia="ar-SA"/>
        </w:rPr>
        <w:t xml:space="preserve"> </w:t>
      </w:r>
    </w:p>
    <w:sectPr w:rsidR="0080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7F"/>
    <w:rsid w:val="0007306F"/>
    <w:rsid w:val="00183A23"/>
    <w:rsid w:val="001A5152"/>
    <w:rsid w:val="001C4E15"/>
    <w:rsid w:val="00213241"/>
    <w:rsid w:val="00242CF3"/>
    <w:rsid w:val="00254108"/>
    <w:rsid w:val="002763F7"/>
    <w:rsid w:val="002926D9"/>
    <w:rsid w:val="002B3A7F"/>
    <w:rsid w:val="002C40D4"/>
    <w:rsid w:val="00363B72"/>
    <w:rsid w:val="00406D22"/>
    <w:rsid w:val="00422EDD"/>
    <w:rsid w:val="00444F04"/>
    <w:rsid w:val="004B2052"/>
    <w:rsid w:val="00625460"/>
    <w:rsid w:val="006725EC"/>
    <w:rsid w:val="006A6B5F"/>
    <w:rsid w:val="006D668D"/>
    <w:rsid w:val="00720B55"/>
    <w:rsid w:val="00747CF7"/>
    <w:rsid w:val="00776275"/>
    <w:rsid w:val="007E0AF1"/>
    <w:rsid w:val="00801B9D"/>
    <w:rsid w:val="0080615A"/>
    <w:rsid w:val="00846737"/>
    <w:rsid w:val="008565A4"/>
    <w:rsid w:val="008C4935"/>
    <w:rsid w:val="008C4AA0"/>
    <w:rsid w:val="00920FEA"/>
    <w:rsid w:val="009876A4"/>
    <w:rsid w:val="00A2037F"/>
    <w:rsid w:val="00A703B1"/>
    <w:rsid w:val="00A81724"/>
    <w:rsid w:val="00A856C4"/>
    <w:rsid w:val="00B013B6"/>
    <w:rsid w:val="00B378CF"/>
    <w:rsid w:val="00BD3E25"/>
    <w:rsid w:val="00C36ED7"/>
    <w:rsid w:val="00D43A87"/>
    <w:rsid w:val="00DB0074"/>
    <w:rsid w:val="00DB35E5"/>
    <w:rsid w:val="00DB4C86"/>
    <w:rsid w:val="00DF0202"/>
    <w:rsid w:val="00E17C48"/>
    <w:rsid w:val="00E91E44"/>
    <w:rsid w:val="00E96E87"/>
    <w:rsid w:val="00EA6BFA"/>
    <w:rsid w:val="00EF5A3B"/>
    <w:rsid w:val="00F13203"/>
    <w:rsid w:val="00FA66F1"/>
    <w:rsid w:val="00FE2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935"/>
  <w15:chartTrackingRefBased/>
  <w15:docId w15:val="{945AE1F9-FE66-4308-8868-D1AA601A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37F"/>
    <w:pPr>
      <w:spacing w:line="300" w:lineRule="auto"/>
    </w:pPr>
    <w:rPr>
      <w:rFonts w:eastAsiaTheme="minorEastAsia"/>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2037F"/>
    <w:rPr>
      <w:color w:val="000080"/>
      <w:u w:val="single"/>
    </w:rPr>
  </w:style>
  <w:style w:type="paragraph" w:styleId="Bezodstpw">
    <w:name w:val="No Spacing"/>
    <w:uiPriority w:val="1"/>
    <w:qFormat/>
    <w:rsid w:val="00A2037F"/>
    <w:pPr>
      <w:spacing w:after="0" w:line="240" w:lineRule="auto"/>
    </w:pPr>
    <w:rPr>
      <w:rFonts w:eastAsiaTheme="minorEastAsia"/>
      <w:sz w:val="21"/>
      <w:szCs w:val="21"/>
    </w:rPr>
  </w:style>
  <w:style w:type="character" w:styleId="Nierozpoznanawzmianka">
    <w:name w:val="Unresolved Mention"/>
    <w:basedOn w:val="Domylnaczcionkaakapitu"/>
    <w:uiPriority w:val="99"/>
    <w:semiHidden/>
    <w:unhideWhenUsed/>
    <w:rsid w:val="00DB0074"/>
    <w:rPr>
      <w:color w:val="605E5C"/>
      <w:shd w:val="clear" w:color="auto" w:fill="E1DFDD"/>
    </w:rPr>
  </w:style>
  <w:style w:type="character" w:styleId="Odwoaniedokomentarza">
    <w:name w:val="annotation reference"/>
    <w:basedOn w:val="Domylnaczcionkaakapitu"/>
    <w:uiPriority w:val="99"/>
    <w:semiHidden/>
    <w:unhideWhenUsed/>
    <w:rsid w:val="00D43A87"/>
    <w:rPr>
      <w:sz w:val="16"/>
      <w:szCs w:val="16"/>
    </w:rPr>
  </w:style>
  <w:style w:type="paragraph" w:styleId="Tekstkomentarza">
    <w:name w:val="annotation text"/>
    <w:basedOn w:val="Normalny"/>
    <w:link w:val="TekstkomentarzaZnak"/>
    <w:uiPriority w:val="99"/>
    <w:semiHidden/>
    <w:unhideWhenUsed/>
    <w:rsid w:val="00D43A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A87"/>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D43A87"/>
    <w:rPr>
      <w:b/>
      <w:bCs/>
    </w:rPr>
  </w:style>
  <w:style w:type="character" w:customStyle="1" w:styleId="TematkomentarzaZnak">
    <w:name w:val="Temat komentarza Znak"/>
    <w:basedOn w:val="TekstkomentarzaZnak"/>
    <w:link w:val="Tematkomentarza"/>
    <w:uiPriority w:val="99"/>
    <w:semiHidden/>
    <w:rsid w:val="00D43A8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tal.pl" TargetMode="External"/><Relationship Id="rId5" Type="http://schemas.openxmlformats.org/officeDocument/2006/relationships/hyperlink" Target="http://www.atal.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Fabich</dc:creator>
  <cp:keywords/>
  <dc:description/>
  <cp:lastModifiedBy>Łukasz Borkowski</cp:lastModifiedBy>
  <cp:revision>3</cp:revision>
  <cp:lastPrinted>2022-01-03T14:27:00Z</cp:lastPrinted>
  <dcterms:created xsi:type="dcterms:W3CDTF">2022-01-03T14:39:00Z</dcterms:created>
  <dcterms:modified xsi:type="dcterms:W3CDTF">2022-01-04T06:40:00Z</dcterms:modified>
</cp:coreProperties>
</file>