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502555F" w14:textId="67013740" w:rsidR="00A2037F" w:rsidRPr="00732C9F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9E348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 września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1ED0468B" w14:textId="628A12C3" w:rsidR="00334F1E" w:rsidRPr="009E348F" w:rsidRDefault="009E348F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w H1 2021 zwiększa zysk netto o 127%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rdr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</w:rPr>
        <w:t>.</w:t>
      </w:r>
    </w:p>
    <w:p w14:paraId="7FA0F89E" w14:textId="6841980D" w:rsidR="003E156A" w:rsidRDefault="009E348F" w:rsidP="009E348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 – ogólnopolski deweloper – po wydaniu 1 650 lokali w pierwszej połowie 2021 roku wygenerował skonsolidowane przychody na poziomie 651,6 mln zł, wobec 455,7 mln zł przed rokiem. Oznacza to wzrost o 43% </w:t>
      </w:r>
      <w:proofErr w:type="spellStart"/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rdr</w:t>
      </w:r>
      <w:proofErr w:type="spellEnd"/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W tym okresie sprawozdawczym wynik netto przypisany akcjonariuszom jednostki dominującej wyniósł 116,2 mln zł, gdy przed rokiem było to 51,1 mln zł, czyli o 127% więcej </w:t>
      </w:r>
      <w:proofErr w:type="spellStart"/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rdr</w:t>
      </w:r>
      <w:proofErr w:type="spellEnd"/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Marża brutto ze sprzedaży w H1 2021 wyniosła 24,3% , a marża netto zaś 17,8%. </w:t>
      </w:r>
    </w:p>
    <w:p w14:paraId="75547F4B" w14:textId="426531E1" w:rsidR="009E348F" w:rsidRDefault="009E348F" w:rsidP="009E348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Spółka w drugim kwartale br. wy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pracowała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przychody na poziomie 364,3 mln zł. Wynik netto 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przypisany akcjonariuszom jednostki dominującej wyniósł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tym czasie 67,7 mln zł. Marża brutto ze sprzedaży 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od kwietnia do czerwca tego roku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niosła 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25,5%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a marża netto </w:t>
      </w:r>
      <w:r w:rsidR="00E22A2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zaś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18,6%.</w:t>
      </w:r>
    </w:p>
    <w:p w14:paraId="713F1E31" w14:textId="4AD1BD2F" w:rsidR="009E348F" w:rsidRPr="009E348F" w:rsidRDefault="009E348F" w:rsidP="009E348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Tegoroczny potencjał przekazań na ten rok wynosi nawet do 4 tys. mieszkań. Tegoroczny poziom sprzedaży też może wynieść ok. 4 tys. lokali.</w:t>
      </w:r>
    </w:p>
    <w:p w14:paraId="5D6EB7D0" w14:textId="7EC3DE98" w:rsidR="003E156A" w:rsidRDefault="009E348F" w:rsidP="003E156A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A6C78B" wp14:editId="3B3F566B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461645" cy="295910"/>
                <wp:effectExtent l="0" t="0" r="0" b="8890"/>
                <wp:wrapNone/>
                <wp:docPr id="1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2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4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FF074" id="Grupa 36" o:spid="_x0000_s1026" style="position:absolute;margin-left:0;margin-top:4.35pt;width:36.35pt;height:23.3pt;z-index:251667456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2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4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anchorx="margin"/>
              </v:group>
            </w:pict>
          </mc:Fallback>
        </mc:AlternateContent>
      </w:r>
    </w:p>
    <w:p w14:paraId="42D032DC" w14:textId="77777777" w:rsidR="009E348F" w:rsidRDefault="009E348F" w:rsidP="003E156A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</w:p>
    <w:p w14:paraId="7B8E8E7C" w14:textId="79B01060" w:rsidR="003E156A" w:rsidRDefault="00EF0C25" w:rsidP="00FE02C8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7EA586" wp14:editId="44BDB450">
                <wp:simplePos x="0" y="0"/>
                <wp:positionH relativeFrom="margin">
                  <wp:align>right</wp:align>
                </wp:positionH>
                <wp:positionV relativeFrom="paragraph">
                  <wp:posOffset>1219200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4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B79A" id="Grupa 16" o:spid="_x0000_s1026" style="position:absolute;margin-left:-14.85pt;margin-top:96pt;width:36.35pt;height:23.3pt;z-index:251665408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4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E22A2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Pierwsze półrocze zamknęliśmy bardzo dobrymi wynikami kontraktacji oraz przekazań.</w:t>
      </w:r>
      <w:r w:rsidR="00FE02C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Na rynku widoczny jest trend, w którym to największe i wyspecjalizowane podmioty najlepiej radzą sobie w branży deweloperskiej. ATAL ma odpowiednie zaplecze oraz potencjał do utrzymywania wiodącej pozycji w sektorze. Organicznie zbudowaliśmy silne struktury w siedmiu największych aglomeracjach w Polsce, co pozytywnie wpływa na osiągane przez spółkę wyniki. Stale i racjonalnie rozbudowujemy nasz bank ziemi, który i tak w pełni zabezpiecza naszą działalność na kilka lat. Przyglądamy się i odpowiednio reagujemy na zjawiska, które zachodzą w branży. Nie odnotowujemy istotnych czynników mogących zmienić sytuację na pierwotnym rynku mieszkaniowym</w:t>
      </w:r>
    </w:p>
    <w:p w14:paraId="26FD28C7" w14:textId="01ABBDEC" w:rsidR="003E156A" w:rsidRDefault="00AB191F" w:rsidP="003E156A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– </w:t>
      </w:r>
      <w:r w:rsidR="003E156A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mówi</w:t>
      </w:r>
      <w:r w:rsidR="003E156A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="009E348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</w:t>
      </w:r>
      <w:r w:rsidR="003E156A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arządu ATAL S</w:t>
      </w:r>
      <w:r w:rsidR="009E348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A.</w:t>
      </w:r>
      <w:r w:rsidR="003E156A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1265DB7A" w14:textId="77777777" w:rsidR="003E156A" w:rsidRPr="000F7104" w:rsidRDefault="003E156A" w:rsidP="003E156A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5A47AE17" w14:textId="5B0AEF1D" w:rsidR="000F7104" w:rsidRPr="000F7104" w:rsidRDefault="000F7104" w:rsidP="00C408B3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zakontraktował od stycznia do czerwca 2 070 mieszkań. </w:t>
      </w:r>
      <w:r w:rsidR="00C408B3"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Spółka podpisała następującą liczbę umów deweloperskich i przedwstępnych: w kwietniu 413, w maju 382, a w czerwcu 428. </w:t>
      </w:r>
      <w:r w:rsidR="00732C9F"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Łącznie w</w:t>
      </w:r>
      <w:r w:rsidR="00C408B3"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drugim kwartale br. spółka sprzedała 1 223 mieszkania. Grupa posiadała na koniec II kwartału 2021 roku 781 aktywnych umów rezerwacyjnych.</w:t>
      </w: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33BC12FA" w14:textId="2E437625" w:rsidR="00C408B3" w:rsidRPr="000F7104" w:rsidRDefault="000F7104" w:rsidP="00C408B3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pierwszym półroczu 2021 roku ATAL przekazał klientom 1 650 lokali. Najwięcej lokali zostało wydanych w Warszawie (481), Łodzi (282), Poznaniu (255) a następnie we Wrocławiu (230), Krakowie (215), Katowicach (179) i Trójmieście (8). </w:t>
      </w:r>
    </w:p>
    <w:p w14:paraId="667562D0" w14:textId="6F85B83D" w:rsidR="00C36ED7" w:rsidRPr="00C36ED7" w:rsidRDefault="00C36ED7" w:rsidP="00C36ED7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dniu 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15 lipca br. spółka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wypła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ciła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dywidendy w wysokości 80% zeszłorocznego zysku netto jednostki dominującej. Oznacza to, że do akcjonariuszy trafi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ło 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117,3 mln złotych, czyli 3,03 zł na akcję. Pozostał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część wypracowanego zysku – 28,4 mln zł – zasili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kapitał zapasowy. Dzień dywidendy ustalono na 7 lipca, a termin wypłaty na 15 lipca br. Od początku obecności ATAL na GPW łączna kwota wypłaconej dywidendy to 524 mln zł.</w:t>
      </w:r>
    </w:p>
    <w:p w14:paraId="033ACF1D" w14:textId="77777777" w:rsidR="0007306F" w:rsidRPr="004D5B73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lastRenderedPageBreak/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Pr="002239A2">
        <w:rPr>
          <w:rFonts w:asciiTheme="majorHAnsi" w:hAnsiTheme="majorHAnsi" w:cstheme="majorHAnsi"/>
          <w:sz w:val="22"/>
          <w:szCs w:val="22"/>
        </w:rPr>
        <w:t xml:space="preserve">50%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>
        <w:rPr>
          <w:rFonts w:asciiTheme="majorHAnsi" w:hAnsiTheme="majorHAnsi" w:cstheme="majorHAnsi"/>
          <w:sz w:val="22"/>
          <w:szCs w:val="22"/>
        </w:rPr>
        <w:t xml:space="preserve">ponad </w:t>
      </w:r>
      <w:r w:rsidRPr="002239A2">
        <w:rPr>
          <w:rFonts w:asciiTheme="majorHAnsi" w:hAnsiTheme="majorHAnsi" w:cstheme="majorHAnsi"/>
          <w:sz w:val="22"/>
          <w:szCs w:val="22"/>
        </w:rPr>
        <w:t>80% 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 xml:space="preserve">. W zeszłym roku jednorazowo zmieniono politykę dywidendy ze względu na sytuację związaną z pandemią </w:t>
      </w:r>
      <w:proofErr w:type="spellStart"/>
      <w:r>
        <w:rPr>
          <w:rFonts w:asciiTheme="majorHAnsi" w:hAnsiTheme="majorHAnsi" w:cstheme="majorHAnsi"/>
          <w:sz w:val="22"/>
          <w:szCs w:val="22"/>
        </w:rPr>
        <w:t>koronawirusa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48E8D55A" w14:textId="274DA926" w:rsidR="00C36ED7" w:rsidRDefault="00C36ED7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4108">
        <w:rPr>
          <w:rFonts w:asciiTheme="majorHAnsi" w:hAnsiTheme="majorHAnsi" w:cstheme="majorHAnsi"/>
          <w:sz w:val="22"/>
          <w:szCs w:val="22"/>
        </w:rPr>
        <w:t xml:space="preserve">W </w:t>
      </w:r>
      <w:r>
        <w:rPr>
          <w:rFonts w:asciiTheme="majorHAnsi" w:hAnsiTheme="majorHAnsi" w:cstheme="majorHAnsi"/>
          <w:sz w:val="22"/>
          <w:szCs w:val="22"/>
        </w:rPr>
        <w:t xml:space="preserve">I kw.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 w:rsidRPr="00A25007">
        <w:rPr>
          <w:rFonts w:asciiTheme="majorHAnsi" w:hAnsiTheme="majorHAnsi" w:cstheme="majorHAnsi"/>
          <w:sz w:val="22"/>
          <w:szCs w:val="22"/>
        </w:rPr>
        <w:t xml:space="preserve">2 nowe grunty inwestycyjne w Katowicach i Poznaniu.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52 mln zł, w przeliczeniu na 1 mkw. PUM to </w:t>
      </w:r>
      <w:r w:rsidRPr="00A25007">
        <w:rPr>
          <w:rFonts w:asciiTheme="majorHAnsi" w:hAnsiTheme="majorHAnsi" w:cstheme="majorHAnsi"/>
          <w:sz w:val="22"/>
          <w:szCs w:val="22"/>
        </w:rPr>
        <w:t xml:space="preserve">648 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>ereny pozwolą na realizację 80 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 xml:space="preserve">Obecny bank ziemi w posiadaniu spółki </w:t>
      </w:r>
      <w:r>
        <w:rPr>
          <w:rFonts w:asciiTheme="majorHAnsi" w:hAnsiTheme="majorHAnsi" w:cstheme="majorHAnsi"/>
          <w:sz w:val="22"/>
          <w:szCs w:val="22"/>
        </w:rPr>
        <w:t xml:space="preserve">obejmuje ponad milion mkw. PUM, co </w:t>
      </w:r>
      <w:r w:rsidRPr="00254108">
        <w:rPr>
          <w:rFonts w:asciiTheme="majorHAnsi" w:hAnsiTheme="majorHAnsi" w:cstheme="majorHAnsi"/>
          <w:sz w:val="22"/>
          <w:szCs w:val="22"/>
        </w:rPr>
        <w:t>w pełni zabezpiecza plany inwestycyjne spółki na najbliższe lata.</w:t>
      </w:r>
    </w:p>
    <w:p w14:paraId="0E3C32AC" w14:textId="77777777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4009C7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40AEB203" w14:textId="77777777" w:rsidR="00C36ED7" w:rsidRPr="004009C7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08EFE925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4366605F" w14:textId="3A7B1931" w:rsidR="00A2037F" w:rsidRDefault="00C36ED7" w:rsidP="00E76B05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p w14:paraId="70E99243" w14:textId="77777777" w:rsidR="0080615A" w:rsidRDefault="0080615A"/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F7104"/>
    <w:rsid w:val="00183A23"/>
    <w:rsid w:val="00254108"/>
    <w:rsid w:val="002763F7"/>
    <w:rsid w:val="002926D9"/>
    <w:rsid w:val="00334F1E"/>
    <w:rsid w:val="00363B72"/>
    <w:rsid w:val="003E156A"/>
    <w:rsid w:val="003E5B55"/>
    <w:rsid w:val="00422EDD"/>
    <w:rsid w:val="00470299"/>
    <w:rsid w:val="004F2D4A"/>
    <w:rsid w:val="005957D8"/>
    <w:rsid w:val="00625460"/>
    <w:rsid w:val="006725EC"/>
    <w:rsid w:val="006A6B5F"/>
    <w:rsid w:val="00726378"/>
    <w:rsid w:val="00732C9F"/>
    <w:rsid w:val="00747CF7"/>
    <w:rsid w:val="00776275"/>
    <w:rsid w:val="007E51F0"/>
    <w:rsid w:val="00801B9D"/>
    <w:rsid w:val="0080615A"/>
    <w:rsid w:val="00841B21"/>
    <w:rsid w:val="008565A4"/>
    <w:rsid w:val="008C4935"/>
    <w:rsid w:val="008C4AA0"/>
    <w:rsid w:val="009876A4"/>
    <w:rsid w:val="009A14C7"/>
    <w:rsid w:val="009E348F"/>
    <w:rsid w:val="00A2037F"/>
    <w:rsid w:val="00A55E6E"/>
    <w:rsid w:val="00A703B1"/>
    <w:rsid w:val="00A81724"/>
    <w:rsid w:val="00AB191F"/>
    <w:rsid w:val="00B226AF"/>
    <w:rsid w:val="00B378CF"/>
    <w:rsid w:val="00BD3E25"/>
    <w:rsid w:val="00C36ED7"/>
    <w:rsid w:val="00C408B3"/>
    <w:rsid w:val="00DB0074"/>
    <w:rsid w:val="00E22A2E"/>
    <w:rsid w:val="00E76B05"/>
    <w:rsid w:val="00E96E87"/>
    <w:rsid w:val="00EA36FC"/>
    <w:rsid w:val="00EE36C5"/>
    <w:rsid w:val="00EF0C25"/>
    <w:rsid w:val="00F35315"/>
    <w:rsid w:val="00F717C1"/>
    <w:rsid w:val="00FA66F1"/>
    <w:rsid w:val="00FE02C8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2021-09-03T06:29:00Z</dcterms:created>
  <dcterms:modified xsi:type="dcterms:W3CDTF">2021-09-03T06:29:00Z</dcterms:modified>
</cp:coreProperties>
</file>