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2E7370F0" w:rsidR="00FE0F75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6568B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6568B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marca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0A07729C" w:rsidR="00FE0F75" w:rsidRDefault="00B0663E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Grupa ATAL </w:t>
      </w:r>
      <w:r w:rsidR="006568BF">
        <w:rPr>
          <w:rFonts w:ascii="Calibri" w:eastAsia="Calibri" w:hAnsi="Calibri" w:cs="Calibri"/>
          <w:b/>
          <w:bCs/>
          <w:sz w:val="48"/>
          <w:szCs w:val="48"/>
        </w:rPr>
        <w:t>podsumowała 2022 rok</w:t>
      </w:r>
    </w:p>
    <w:p w14:paraId="74C2C542" w14:textId="0A06A41B" w:rsidR="00B0663E" w:rsidRDefault="006568BF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 –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 przekazaniu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3380</w:t>
      </w:r>
      <w:r w:rsidRPr="006640D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lokali mieszkalnych i usługowych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2022 roku, wygenerowała skonsolidowane przychody na poziomie 1,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658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mld zł.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zeszłym roku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ATAL wypracowała skonsolidowany zysk netto w wysokości ponad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368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mln zł,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co jest najwyższym wynikiem w historii Grupy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Pr="00A2755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Marża netto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2022 roku wyniosła ok. 22,22</w:t>
      </w:r>
      <w:r w:rsidRPr="00A2755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%.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</w:t>
      </w:r>
      <w:r w:rsidR="00B0663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2022 roku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ATAL zawarła </w:t>
      </w:r>
      <w:r w:rsidR="00B0663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2091 umów deweloperskich oraz przedwstępnych. </w:t>
      </w:r>
    </w:p>
    <w:p w14:paraId="487AF233" w14:textId="0C46B6CC" w:rsidR="006568BF" w:rsidRDefault="006568BF" w:rsidP="006568B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 2022 roku znaczącą uwagę poświęciliśmy kwestii zadłużenia i płynności, które są obecnie jednymi z kluczowych czynników mających wpływ na konkurencyjność w naszym sektorze. W zeszłym roku istotnie obniżyliśmy zadłużenie, jego stan w Grupie ATAL jest stosunkowo niski. Tym samym nie jesteśmy obciążeni wysokimi kosztami związanymi z dostępem i obsługą kapitału, to aktualnie jedna z istotniejszych barier w naszej branży. Wykupiliśmy serie obligacji zapadających w zeszłym roku, nie decydując się przy tym na nowe emisje. Ponadto posiadamy wysoki stan dostępnych środków pieniężnych, który w pełni pozwala na rozwój dalszej działalności. Jest to niezwykle ważne w niestabilnych okolicznościach zewnętrznych.</w:t>
      </w:r>
    </w:p>
    <w:p w14:paraId="0FDF6743" w14:textId="3C919FB8" w:rsidR="006568BF" w:rsidRDefault="006568BF" w:rsidP="006568B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Od zawsze rentowność naszej działalności jest kluczową kwestią, która buduje wartość dla akcjonariuszy Grupy.</w:t>
      </w: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Celem, który sobie stawiamy, jest osiąganie wysokiego poziomu rentowności z inwestycji deweloperskich, mimo niezwykle trudnego otoczenia dla spółek deweloperskich. </w:t>
      </w: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</w:t>
      </w: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zeszłym roku wypłaciliśmy naszym akcjonariuszom historycznie najwyższą dywidendę. Z zysku za 2021 roku inwestorzy otrzymali ponad 232 mln zł, czyli 6,00 zł na jedną akcję. Od początku naszej obecności na Giełdzie Papierów Wartościowych w Warszawie wypłaciliśmy akcjonariuszom ponad 0,75 mld zł.</w:t>
      </w:r>
    </w:p>
    <w:p w14:paraId="298BCA46" w14:textId="723FBF28" w:rsidR="006568BF" w:rsidRPr="006568BF" w:rsidRDefault="006568BF" w:rsidP="006568B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Niesprzyjająca sytuacja makroekonomiczna i przejściowe trudności z dostępem do kredytów hipotecznych nie wpływają na nasze długoterminowe podejście do sektora nieruchomości i rynku pierwotnego. Niezmiennie uważamy, że polski sektor posiada silnie fundamenty pod wieloletnie wzrosty</w:t>
      </w:r>
    </w:p>
    <w:p w14:paraId="72DBB871" w14:textId="77777777" w:rsidR="006568BF" w:rsidRDefault="006568BF" w:rsidP="006568B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zarządu ATAL SA.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6E5B63E1" w14:textId="0ED09BF3" w:rsidR="00B0663E" w:rsidRDefault="00D3602C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Grupa ATAL posiada rozbudowaną ofertę w każdej z siedmiu </w:t>
      </w:r>
      <w:r w:rsid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największych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aglomeracji w kraju, co pozwala odpowiedzieć na aktualne potrzeby nabywców oraz potencjalne zwiększone zainteresowanie, które może pojawić się po uruchomieniu programów wspierających zakup mieszkania, za</w:t>
      </w:r>
      <w:r w:rsid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powiedzianych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na połowę bieżącego roku. </w:t>
      </w:r>
    </w:p>
    <w:p w14:paraId="4C0D9F7E" w14:textId="11CE86CB" w:rsidR="0059774B" w:rsidRDefault="0059774B" w:rsidP="0059774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 2023 nie spodziewamy się obniżek cen mieszkań, nie widzimy ku temu warunków.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Zwłaszcza dotyczy to największych miast, na których koncentruje się nasza działalność.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Na zamrożenie cen wpływ ma wciąż duża presja na koszty budów, a także systematyczne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ograniczanie podaży mieszkań</w:t>
      </w:r>
      <w:r w:rsidR="00107DE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ze strony mniejszych deweloperów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Wytworzenie produktu w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naszej branży trwa ok. 2 lat, zatem decyzje o wstrzymaniu budów będą miały konsekwencje już w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2023 r., a także kolejnych latach, jeżeli sytuacja się nie zmieni.</w:t>
      </w:r>
    </w:p>
    <w:p w14:paraId="50D039F6" w14:textId="77777777" w:rsidR="00C055E8" w:rsidRDefault="00C055E8" w:rsidP="00C055E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B0663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W drugiej połowie 2022 roku sprzedaż ustabilizowała się na poziomie ok. 125-130 lokali miesięcznie. Obecnie zakładany przez nas model wskazuje, że pierwsze dwa kwartały 2023 r. będą podobne do III i IV kwartału 2022 r. z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możliwą </w:t>
      </w:r>
      <w:r w:rsidRPr="00B0663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tendencją do odbicia w drugiej połowie 2023 r.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</w:p>
    <w:p w14:paraId="17533BC4" w14:textId="7DAE36F0" w:rsidR="0059774B" w:rsidRDefault="0059774B" w:rsidP="0059774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lastRenderedPageBreak/>
        <w:t>Czołowi deweloperzy, tacy jak ATAL, o stabilnej sytuacji finansowej, lepiej poradzą sobie na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wymagającym rynku, nawet utrzymując podobny poziom sprzedaży. </w:t>
      </w:r>
      <w:r w:rsidR="00107DE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 czasie dwuletniego cyklu budowy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to firmy deweloperskie, w niesprzyjających warunkach sprzedażowych,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ponoszą ciężar finansowania budów i utrzymania administracji, co kosztuje coraz więcej.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ytrzymałość sektora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jest ograniczona</w:t>
      </w:r>
      <w:r w:rsidR="00107DE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, d</w:t>
      </w:r>
      <w:r w:rsidRPr="0059774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latego mniejsi, obciążeni kredytowo deweloperzy, mogą nie przetrwać trudów kryzysu</w:t>
      </w:r>
    </w:p>
    <w:p w14:paraId="1F7E838F" w14:textId="06DA5C33" w:rsidR="00C055E8" w:rsidRDefault="00C055E8" w:rsidP="00C055E8">
      <w:pPr>
        <w:pStyle w:val="Bezodstpw"/>
        <w:jc w:val="right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–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dodaje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.</w:t>
      </w:r>
    </w:p>
    <w:p w14:paraId="55F0AC8A" w14:textId="77777777" w:rsidR="006C11A9" w:rsidRPr="004D5B73" w:rsidRDefault="006C11A9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07DE0"/>
    <w:rsid w:val="00172F0A"/>
    <w:rsid w:val="00174736"/>
    <w:rsid w:val="00183A23"/>
    <w:rsid w:val="001A6F49"/>
    <w:rsid w:val="001C76AD"/>
    <w:rsid w:val="001E139A"/>
    <w:rsid w:val="00216048"/>
    <w:rsid w:val="002210D0"/>
    <w:rsid w:val="0025018B"/>
    <w:rsid w:val="00254108"/>
    <w:rsid w:val="00274B57"/>
    <w:rsid w:val="002763F7"/>
    <w:rsid w:val="002926D9"/>
    <w:rsid w:val="002A2DFC"/>
    <w:rsid w:val="002D27B2"/>
    <w:rsid w:val="002D58D8"/>
    <w:rsid w:val="002E0635"/>
    <w:rsid w:val="002E6C7F"/>
    <w:rsid w:val="00306411"/>
    <w:rsid w:val="00334F1E"/>
    <w:rsid w:val="00340B6E"/>
    <w:rsid w:val="00363B72"/>
    <w:rsid w:val="00365E63"/>
    <w:rsid w:val="003B489F"/>
    <w:rsid w:val="003D76CC"/>
    <w:rsid w:val="003E156A"/>
    <w:rsid w:val="003E4E15"/>
    <w:rsid w:val="003E5B55"/>
    <w:rsid w:val="003F0FAB"/>
    <w:rsid w:val="00404050"/>
    <w:rsid w:val="00406098"/>
    <w:rsid w:val="00422EDD"/>
    <w:rsid w:val="00430F60"/>
    <w:rsid w:val="0043755A"/>
    <w:rsid w:val="00442CD1"/>
    <w:rsid w:val="00470299"/>
    <w:rsid w:val="00492353"/>
    <w:rsid w:val="004D0F3E"/>
    <w:rsid w:val="004F2D4A"/>
    <w:rsid w:val="00542721"/>
    <w:rsid w:val="005455E1"/>
    <w:rsid w:val="00567BE6"/>
    <w:rsid w:val="005957D8"/>
    <w:rsid w:val="0059774B"/>
    <w:rsid w:val="00625460"/>
    <w:rsid w:val="006413F9"/>
    <w:rsid w:val="00650343"/>
    <w:rsid w:val="006568BF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26378"/>
    <w:rsid w:val="00732C9F"/>
    <w:rsid w:val="00747CF7"/>
    <w:rsid w:val="007548B3"/>
    <w:rsid w:val="00756B71"/>
    <w:rsid w:val="007625B5"/>
    <w:rsid w:val="00775263"/>
    <w:rsid w:val="00776275"/>
    <w:rsid w:val="00792993"/>
    <w:rsid w:val="007B10F8"/>
    <w:rsid w:val="007E51F0"/>
    <w:rsid w:val="007F21C3"/>
    <w:rsid w:val="00801B9D"/>
    <w:rsid w:val="00803D82"/>
    <w:rsid w:val="0080615A"/>
    <w:rsid w:val="0081788F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66AC"/>
    <w:rsid w:val="009231C5"/>
    <w:rsid w:val="0092550B"/>
    <w:rsid w:val="009354A5"/>
    <w:rsid w:val="009411FB"/>
    <w:rsid w:val="00976050"/>
    <w:rsid w:val="009876A4"/>
    <w:rsid w:val="009A14C7"/>
    <w:rsid w:val="009E348F"/>
    <w:rsid w:val="009F1ED2"/>
    <w:rsid w:val="00A010BB"/>
    <w:rsid w:val="00A0145E"/>
    <w:rsid w:val="00A130F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B0663E"/>
    <w:rsid w:val="00B226AF"/>
    <w:rsid w:val="00B26C09"/>
    <w:rsid w:val="00B3067B"/>
    <w:rsid w:val="00B378CF"/>
    <w:rsid w:val="00B43BA4"/>
    <w:rsid w:val="00B63C88"/>
    <w:rsid w:val="00B74BF1"/>
    <w:rsid w:val="00B8330B"/>
    <w:rsid w:val="00BD3E25"/>
    <w:rsid w:val="00BD5D8E"/>
    <w:rsid w:val="00BE627A"/>
    <w:rsid w:val="00C055E8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F3E59"/>
    <w:rsid w:val="00D10309"/>
    <w:rsid w:val="00D1422C"/>
    <w:rsid w:val="00D25586"/>
    <w:rsid w:val="00D35520"/>
    <w:rsid w:val="00D3602C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cp:lastPrinted>2023-01-02T13:06:00Z</cp:lastPrinted>
  <dcterms:created xsi:type="dcterms:W3CDTF">2023-03-22T16:14:00Z</dcterms:created>
  <dcterms:modified xsi:type="dcterms:W3CDTF">2023-03-22T16:14:00Z</dcterms:modified>
</cp:coreProperties>
</file>