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4DBE45CF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9411F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="00B63C8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kwietnia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5716AD82" w:rsidR="00FE0F75" w:rsidRDefault="009411FB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 – przekazania w I kw. 2022 roku</w:t>
      </w:r>
    </w:p>
    <w:p w14:paraId="5D6EB7D0" w14:textId="54DCE435" w:rsidR="003E156A" w:rsidRPr="00B74BF1" w:rsidRDefault="00C5441A" w:rsidP="00B74BF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="009411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ogólnopolski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deweloper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em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</w:t>
      </w:r>
      <w:r w:rsidR="009411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I kwartale 2022 roku </w:t>
      </w:r>
      <w:r w:rsid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wydał klucze do </w:t>
      </w:r>
      <w:r w:rsidR="006640D2"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719 lokali mieszkalnych i usługowych</w:t>
      </w:r>
      <w:r w:rsidR="009166A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9411FB"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411FB"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Potencjał przekazań natomiast na ok. 3 500 lokali.</w:t>
      </w:r>
    </w:p>
    <w:p w14:paraId="46F22C39" w14:textId="42482E35" w:rsidR="00C5441A" w:rsidRPr="00C5441A" w:rsidRDefault="00C5441A" w:rsidP="00DA05C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5441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w pierwszym kwartale 2022 roku zakontraktował 754 lokale. W styczniu podpisano 267 umów deweloperskich i przedwstępnych, w lutym 226, natomiast w marcu było to 261. Tegoroczny potencjał sprzedaży (umowy deweloperskie i przedwstępne) Grupa obecnie szacuje na 3 000 </w:t>
      </w:r>
      <w:r w:rsidR="006640D2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Pr="00C5441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3 500 lokali. Potencjał przekazań natomiast na ok. 3 500 lokali.</w:t>
      </w:r>
    </w:p>
    <w:p w14:paraId="4FA04D1B" w14:textId="5C83CA3B" w:rsidR="00DA05CD" w:rsidRDefault="00DA05CD" w:rsidP="00DA05C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DA05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2021 roku ATAL wygenerował skonsolidowane przychody na poziomie 1 679,2 mln zł. Oznacza to wzrost o ok. 44% rdr. W 2021 roku wynik netto przypisany akcjonariuszom jednostki dominującej wyniósł 331,2 mln zł, gdy przed rokiem było to 167,4 mln zł, czyli o prawie 98% więcej rdr. Marża brutto ze sprzedaży w 2021 roku wyniosła 27,0%, a marża netto zaś 19,7%. </w:t>
      </w:r>
    </w:p>
    <w:p w14:paraId="033ACF1D" w14:textId="4399D775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</w:t>
      </w:r>
      <w:r w:rsidR="009F1ED2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 xml:space="preserve"> roku jednorazowo zmieniono politykę dywidendy ze względu na sytuację związaną z pandemią koronawirusa</w:t>
      </w:r>
      <w:r w:rsidR="009F1ED2">
        <w:rPr>
          <w:rFonts w:asciiTheme="majorHAnsi" w:hAnsiTheme="majorHAnsi" w:cstheme="majorHAnsi"/>
          <w:sz w:val="22"/>
          <w:szCs w:val="22"/>
        </w:rPr>
        <w:t>, zasilając kapitał zakładowy wypracowanym zyskiem</w:t>
      </w:r>
      <w:r>
        <w:rPr>
          <w:rFonts w:asciiTheme="majorHAnsi" w:hAnsiTheme="majorHAnsi" w:cstheme="majorHAnsi"/>
          <w:sz w:val="22"/>
          <w:szCs w:val="22"/>
        </w:rPr>
        <w:t>.</w:t>
      </w:r>
      <w:r w:rsidR="009F1ED2">
        <w:rPr>
          <w:rFonts w:asciiTheme="majorHAnsi" w:hAnsiTheme="majorHAnsi" w:cstheme="majorHAnsi"/>
          <w:sz w:val="22"/>
          <w:szCs w:val="22"/>
        </w:rPr>
        <w:t xml:space="preserve"> 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9F1ED2">
        <w:rPr>
          <w:rFonts w:asciiTheme="majorHAnsi" w:hAnsiTheme="majorHAnsi" w:cstheme="majorHAnsi"/>
          <w:sz w:val="22"/>
          <w:szCs w:val="22"/>
        </w:rPr>
        <w:t>2021 roku spółka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80% zysku netto jednostki dominującej</w:t>
      </w:r>
      <w:r w:rsidR="009F1ED2">
        <w:rPr>
          <w:rFonts w:asciiTheme="majorHAnsi" w:hAnsiTheme="majorHAnsi" w:cstheme="majorHAnsi"/>
          <w:sz w:val="22"/>
          <w:szCs w:val="22"/>
        </w:rPr>
        <w:t xml:space="preserve"> z 2020 roku</w:t>
      </w:r>
      <w:r w:rsidR="009F1ED2" w:rsidRPr="00B43BA4">
        <w:rPr>
          <w:rFonts w:asciiTheme="majorHAnsi" w:hAnsiTheme="majorHAnsi" w:cstheme="majorHAnsi"/>
          <w:sz w:val="22"/>
          <w:szCs w:val="22"/>
        </w:rPr>
        <w:t>. Oznacza to, że do akcjonariuszy trafiło 117,3 mln złotych, czyli 3,03 zł na akcję. Pozostała część wypracowanego zysku – 28,4 mln zł – zasiliła kapitał zapasowy.</w:t>
      </w:r>
    </w:p>
    <w:p w14:paraId="09FD4DB8" w14:textId="5129F09D" w:rsidR="00D63B7E" w:rsidRDefault="00D63B7E" w:rsidP="00D63B7E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</w:t>
      </w:r>
      <w:r w:rsidRPr="00A25007">
        <w:rPr>
          <w:rFonts w:asciiTheme="majorHAnsi" w:hAnsiTheme="majorHAnsi" w:cstheme="majorHAnsi"/>
          <w:sz w:val="22"/>
          <w:szCs w:val="22"/>
        </w:rPr>
        <w:t xml:space="preserve"> </w:t>
      </w:r>
      <w:r w:rsidR="008E54EF">
        <w:rPr>
          <w:rFonts w:asciiTheme="majorHAnsi" w:hAnsiTheme="majorHAnsi" w:cstheme="majorHAnsi"/>
          <w:sz w:val="22"/>
          <w:szCs w:val="22"/>
        </w:rPr>
        <w:t xml:space="preserve"> </w:t>
      </w:r>
      <w:r w:rsidR="008E54EF" w:rsidRPr="00091D01">
        <w:rPr>
          <w:rFonts w:asciiTheme="majorHAnsi" w:hAnsiTheme="majorHAnsi" w:cstheme="majorHAnsi"/>
          <w:sz w:val="22"/>
          <w:szCs w:val="22"/>
        </w:rPr>
        <w:t>11</w:t>
      </w:r>
      <w:r w:rsidR="008E54EF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>now</w:t>
      </w:r>
      <w:r>
        <w:rPr>
          <w:rFonts w:asciiTheme="majorHAnsi" w:hAnsiTheme="majorHAnsi" w:cstheme="majorHAnsi"/>
          <w:sz w:val="22"/>
          <w:szCs w:val="22"/>
        </w:rPr>
        <w:t>ych</w:t>
      </w:r>
      <w:r w:rsidRPr="00A25007">
        <w:rPr>
          <w:rFonts w:asciiTheme="majorHAnsi" w:hAnsiTheme="majorHAnsi" w:cstheme="majorHAnsi"/>
          <w:sz w:val="22"/>
          <w:szCs w:val="22"/>
        </w:rPr>
        <w:t xml:space="preserve"> grunt</w:t>
      </w:r>
      <w:r>
        <w:rPr>
          <w:rFonts w:asciiTheme="majorHAnsi" w:hAnsiTheme="majorHAnsi" w:cstheme="majorHAnsi"/>
          <w:sz w:val="22"/>
          <w:szCs w:val="22"/>
        </w:rPr>
        <w:t>ów</w:t>
      </w:r>
      <w:r w:rsidRPr="00A25007">
        <w:rPr>
          <w:rFonts w:asciiTheme="majorHAnsi" w:hAnsiTheme="majorHAnsi" w:cstheme="majorHAnsi"/>
          <w:sz w:val="22"/>
          <w:szCs w:val="22"/>
        </w:rPr>
        <w:t xml:space="preserve"> inwestycyjn</w:t>
      </w:r>
      <w:r w:rsidR="00091D01">
        <w:rPr>
          <w:rFonts w:asciiTheme="majorHAnsi" w:hAnsiTheme="majorHAnsi" w:cstheme="majorHAnsi"/>
          <w:sz w:val="22"/>
          <w:szCs w:val="22"/>
        </w:rPr>
        <w:t>ych</w:t>
      </w:r>
      <w:r w:rsidRPr="00A25007">
        <w:rPr>
          <w:rFonts w:asciiTheme="majorHAnsi" w:hAnsiTheme="majorHAnsi" w:cstheme="majorHAnsi"/>
          <w:sz w:val="22"/>
          <w:szCs w:val="22"/>
        </w:rPr>
        <w:t xml:space="preserve">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Krakowie</w:t>
      </w:r>
      <w:r w:rsidR="00306411">
        <w:rPr>
          <w:rFonts w:asciiTheme="majorHAnsi" w:hAnsiTheme="majorHAnsi" w:cstheme="majorHAnsi"/>
          <w:sz w:val="22"/>
          <w:szCs w:val="22"/>
        </w:rPr>
        <w:t xml:space="preserve">, </w:t>
      </w:r>
      <w:r w:rsidR="00306411" w:rsidRPr="00091D01">
        <w:rPr>
          <w:rFonts w:asciiTheme="majorHAnsi" w:hAnsiTheme="majorHAnsi" w:cstheme="majorHAnsi"/>
          <w:sz w:val="22"/>
          <w:szCs w:val="22"/>
        </w:rPr>
        <w:t>Piotrkowie Trybunalskim</w:t>
      </w:r>
      <w:r>
        <w:rPr>
          <w:rFonts w:asciiTheme="majorHAnsi" w:hAnsiTheme="majorHAnsi" w:cstheme="majorHAnsi"/>
          <w:sz w:val="22"/>
          <w:szCs w:val="22"/>
        </w:rPr>
        <w:t xml:space="preserve"> oraz Warszawie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 w:rsidR="00306411" w:rsidRPr="00091D01">
        <w:rPr>
          <w:rFonts w:asciiTheme="majorHAnsi" w:hAnsiTheme="majorHAnsi" w:cstheme="majorHAnsi"/>
          <w:sz w:val="22"/>
          <w:szCs w:val="22"/>
        </w:rPr>
        <w:t>193,6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786CF6">
        <w:rPr>
          <w:rFonts w:asciiTheme="majorHAnsi" w:hAnsiTheme="majorHAnsi" w:cstheme="majorHAnsi"/>
          <w:sz w:val="22"/>
          <w:szCs w:val="22"/>
        </w:rPr>
        <w:t xml:space="preserve">mln zł, w przeliczeniu na 1 mkw. PUM to 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="00306411" w:rsidRPr="00091D01">
        <w:rPr>
          <w:rFonts w:asciiTheme="majorHAnsi" w:hAnsiTheme="majorHAnsi" w:cstheme="majorHAnsi"/>
          <w:sz w:val="22"/>
          <w:szCs w:val="22"/>
        </w:rPr>
        <w:t>851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 xml:space="preserve">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 w:rsidR="00306411" w:rsidRPr="00091D01">
        <w:rPr>
          <w:rFonts w:asciiTheme="majorHAnsi" w:hAnsiTheme="majorHAnsi" w:cstheme="majorHAnsi"/>
          <w:sz w:val="22"/>
          <w:szCs w:val="22"/>
        </w:rPr>
        <w:t>227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>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>Obecny bank ziemi w posiadaniu spółki w pełni zabezpiecza plany inwestycyjne na najbliższe</w:t>
      </w:r>
      <w:r>
        <w:rPr>
          <w:rFonts w:asciiTheme="majorHAnsi" w:hAnsiTheme="majorHAnsi" w:cstheme="majorHAnsi"/>
          <w:sz w:val="22"/>
          <w:szCs w:val="22"/>
        </w:rPr>
        <w:t xml:space="preserve"> 3-4</w:t>
      </w:r>
      <w:r w:rsidRPr="00254108">
        <w:rPr>
          <w:rFonts w:asciiTheme="majorHAnsi" w:hAnsiTheme="majorHAnsi" w:cstheme="majorHAnsi"/>
          <w:sz w:val="22"/>
          <w:szCs w:val="22"/>
        </w:rPr>
        <w:t xml:space="preserve"> lata.</w:t>
      </w: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C76AD"/>
    <w:rsid w:val="001E139A"/>
    <w:rsid w:val="00216048"/>
    <w:rsid w:val="00254108"/>
    <w:rsid w:val="00274B57"/>
    <w:rsid w:val="002763F7"/>
    <w:rsid w:val="002926D9"/>
    <w:rsid w:val="002D58D8"/>
    <w:rsid w:val="002E0635"/>
    <w:rsid w:val="00306411"/>
    <w:rsid w:val="00334F1E"/>
    <w:rsid w:val="00363B72"/>
    <w:rsid w:val="003B489F"/>
    <w:rsid w:val="003E156A"/>
    <w:rsid w:val="003E5B55"/>
    <w:rsid w:val="003F0FAB"/>
    <w:rsid w:val="00404050"/>
    <w:rsid w:val="00422EDD"/>
    <w:rsid w:val="00470299"/>
    <w:rsid w:val="00492353"/>
    <w:rsid w:val="004D0F3E"/>
    <w:rsid w:val="004F2D4A"/>
    <w:rsid w:val="005455E1"/>
    <w:rsid w:val="005957D8"/>
    <w:rsid w:val="00625460"/>
    <w:rsid w:val="00650343"/>
    <w:rsid w:val="006640D2"/>
    <w:rsid w:val="006725EC"/>
    <w:rsid w:val="00692E00"/>
    <w:rsid w:val="006A6B5F"/>
    <w:rsid w:val="006B3105"/>
    <w:rsid w:val="006C4FC5"/>
    <w:rsid w:val="006F6BA3"/>
    <w:rsid w:val="00713B2B"/>
    <w:rsid w:val="00726378"/>
    <w:rsid w:val="00732C9F"/>
    <w:rsid w:val="00747CF7"/>
    <w:rsid w:val="007548B3"/>
    <w:rsid w:val="007625B5"/>
    <w:rsid w:val="00776275"/>
    <w:rsid w:val="007E51F0"/>
    <w:rsid w:val="007F21C3"/>
    <w:rsid w:val="00801B9D"/>
    <w:rsid w:val="00803D82"/>
    <w:rsid w:val="0080615A"/>
    <w:rsid w:val="00841B21"/>
    <w:rsid w:val="008565A4"/>
    <w:rsid w:val="008A34ED"/>
    <w:rsid w:val="008C4935"/>
    <w:rsid w:val="008C4AA0"/>
    <w:rsid w:val="008E030B"/>
    <w:rsid w:val="008E54EF"/>
    <w:rsid w:val="009166AC"/>
    <w:rsid w:val="0092550B"/>
    <w:rsid w:val="009354A5"/>
    <w:rsid w:val="009411FB"/>
    <w:rsid w:val="009876A4"/>
    <w:rsid w:val="009A14C7"/>
    <w:rsid w:val="009E348F"/>
    <w:rsid w:val="009F1ED2"/>
    <w:rsid w:val="00A010BB"/>
    <w:rsid w:val="00A2037F"/>
    <w:rsid w:val="00A55E6E"/>
    <w:rsid w:val="00A703B1"/>
    <w:rsid w:val="00A73BF3"/>
    <w:rsid w:val="00A81724"/>
    <w:rsid w:val="00AB191F"/>
    <w:rsid w:val="00AB4741"/>
    <w:rsid w:val="00AF2664"/>
    <w:rsid w:val="00B226AF"/>
    <w:rsid w:val="00B378CF"/>
    <w:rsid w:val="00B43BA4"/>
    <w:rsid w:val="00B63C88"/>
    <w:rsid w:val="00B74BF1"/>
    <w:rsid w:val="00BD3E25"/>
    <w:rsid w:val="00BD5D8E"/>
    <w:rsid w:val="00C36ED7"/>
    <w:rsid w:val="00C40329"/>
    <w:rsid w:val="00C408B3"/>
    <w:rsid w:val="00C5441A"/>
    <w:rsid w:val="00C75815"/>
    <w:rsid w:val="00C91514"/>
    <w:rsid w:val="00CD55D4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B0074"/>
    <w:rsid w:val="00E15B4E"/>
    <w:rsid w:val="00E22A2E"/>
    <w:rsid w:val="00E65B75"/>
    <w:rsid w:val="00E76B05"/>
    <w:rsid w:val="00E96E87"/>
    <w:rsid w:val="00EA36FC"/>
    <w:rsid w:val="00EE15CD"/>
    <w:rsid w:val="00EE36C5"/>
    <w:rsid w:val="00EF0C25"/>
    <w:rsid w:val="00F14513"/>
    <w:rsid w:val="00F1499B"/>
    <w:rsid w:val="00F35315"/>
    <w:rsid w:val="00F43988"/>
    <w:rsid w:val="00F526B8"/>
    <w:rsid w:val="00F717C1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cp:lastPrinted>2022-03-17T09:33:00Z</cp:lastPrinted>
  <dcterms:created xsi:type="dcterms:W3CDTF">2022-04-04T14:49:00Z</dcterms:created>
  <dcterms:modified xsi:type="dcterms:W3CDTF">2022-04-11T14:12:00Z</dcterms:modified>
</cp:coreProperties>
</file>